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95A3" w14:textId="4E7FD5E1" w:rsidR="00B418B9" w:rsidRPr="0056448B" w:rsidRDefault="005C485D" w:rsidP="0056448B">
      <w:pPr>
        <w:rPr>
          <w:rFonts w:ascii="Arial" w:hAnsi="Arial" w:cs="Arial"/>
          <w:b/>
          <w:color w:val="0D304A"/>
          <w:sz w:val="72"/>
          <w:szCs w:val="72"/>
        </w:rPr>
      </w:pPr>
      <w:r w:rsidRPr="0056448B">
        <w:rPr>
          <w:rFonts w:ascii="Arial" w:hAnsi="Arial" w:cs="Arial"/>
          <w:b/>
          <w:color w:val="0D304A"/>
          <w:sz w:val="72"/>
          <w:szCs w:val="72"/>
        </w:rPr>
        <w:t>Weekly Market Commentary</w:t>
      </w:r>
      <w:r w:rsidR="00EA5B71" w:rsidRPr="0056448B">
        <w:rPr>
          <w:rFonts w:ascii="Arial" w:hAnsi="Arial" w:cs="Arial"/>
          <w:b/>
          <w:color w:val="0D304A"/>
          <w:sz w:val="72"/>
          <w:szCs w:val="72"/>
        </w:rPr>
        <w:t xml:space="preserve"> | </w:t>
      </w:r>
      <w:r w:rsidR="00EA5B71" w:rsidRPr="0056448B">
        <w:rPr>
          <w:rFonts w:ascii="Arial" w:hAnsi="Arial" w:cs="Arial"/>
          <w:b/>
          <w:color w:val="0D304A"/>
          <w:sz w:val="72"/>
          <w:szCs w:val="72"/>
        </w:rPr>
        <w:br/>
      </w:r>
      <w:r w:rsidR="0056448B" w:rsidRPr="0056448B">
        <w:rPr>
          <w:rFonts w:ascii="Arial" w:hAnsi="Arial" w:cs="Arial"/>
          <w:b/>
          <w:color w:val="0D304A"/>
          <w:sz w:val="72"/>
          <w:szCs w:val="72"/>
        </w:rPr>
        <w:t>October 5</w:t>
      </w:r>
      <w:r w:rsidR="004B2334" w:rsidRPr="0056448B">
        <w:rPr>
          <w:rFonts w:ascii="Arial" w:hAnsi="Arial" w:cs="Arial"/>
          <w:b/>
          <w:color w:val="0D304A"/>
          <w:sz w:val="72"/>
          <w:szCs w:val="72"/>
        </w:rPr>
        <w:t>, 2020</w:t>
      </w:r>
    </w:p>
    <w:p w14:paraId="3BF32BD0" w14:textId="4B700552" w:rsidR="00620BCF" w:rsidRPr="0056448B" w:rsidRDefault="00620BCF" w:rsidP="0056448B">
      <w:pPr>
        <w:rPr>
          <w:rFonts w:ascii="Arial" w:eastAsia="Times New Roman" w:hAnsi="Arial" w:cs="Arial"/>
        </w:rPr>
      </w:pPr>
    </w:p>
    <w:p w14:paraId="70BAD7A1" w14:textId="52C6F59B" w:rsidR="001D2C91" w:rsidRPr="0056448B" w:rsidRDefault="004160B8" w:rsidP="0056448B">
      <w:pPr>
        <w:rPr>
          <w:rFonts w:ascii="Arial" w:eastAsia="Times New Roman" w:hAnsi="Arial" w:cs="Arial"/>
          <w:color w:val="35DB86"/>
        </w:rPr>
      </w:pPr>
      <w:r w:rsidRPr="0056448B">
        <w:rPr>
          <w:rFonts w:ascii="Arial" w:eastAsia="Times New Roman" w:hAnsi="Arial" w:cs="Arial"/>
          <w:i/>
          <w:iCs/>
          <w:color w:val="35DB86"/>
        </w:rPr>
        <w:t>Always include appropriate</w:t>
      </w:r>
      <w:r w:rsidR="00302ABE" w:rsidRPr="0056448B">
        <w:rPr>
          <w:rFonts w:ascii="Arial" w:eastAsia="Times New Roman" w:hAnsi="Arial" w:cs="Arial"/>
          <w:i/>
          <w:iCs/>
          <w:color w:val="35DB86"/>
        </w:rPr>
        <w:t xml:space="preserve"> BD/RIA</w:t>
      </w:r>
      <w:r w:rsidRPr="0056448B">
        <w:rPr>
          <w:rFonts w:ascii="Arial" w:eastAsia="Times New Roman" w:hAnsi="Arial" w:cs="Arial"/>
          <w:i/>
          <w:iCs/>
          <w:color w:val="35DB86"/>
        </w:rPr>
        <w:t xml:space="preserve"> disclosures and submit ghostwritten articles for compliance review and approval before using.</w:t>
      </w:r>
      <w:r w:rsidR="001D2C91" w:rsidRPr="0056448B">
        <w:rPr>
          <w:rFonts w:ascii="Arial" w:eastAsia="Times New Roman" w:hAnsi="Arial" w:cs="Arial"/>
          <w:i/>
          <w:iCs/>
          <w:color w:val="35DB86"/>
        </w:rPr>
        <w:br/>
      </w:r>
    </w:p>
    <w:p w14:paraId="4433796B" w14:textId="61033C58" w:rsidR="004160B8" w:rsidRPr="0056448B" w:rsidRDefault="0056448B" w:rsidP="0056448B">
      <w:pPr>
        <w:pStyle w:val="Heading1"/>
        <w:spacing w:before="0" w:after="160" w:line="259" w:lineRule="auto"/>
        <w:rPr>
          <w:color w:val="44546A" w:themeColor="text2"/>
        </w:rPr>
      </w:pPr>
      <w:r w:rsidRPr="0056448B">
        <w:rPr>
          <w:color w:val="44546A" w:themeColor="text2"/>
        </w:rPr>
        <w:t>10.5</w:t>
      </w:r>
      <w:r w:rsidR="004B2334" w:rsidRPr="0056448B">
        <w:rPr>
          <w:color w:val="44546A" w:themeColor="text2"/>
        </w:rPr>
        <w:t>.2020</w:t>
      </w:r>
    </w:p>
    <w:p w14:paraId="332C5176" w14:textId="463DDEEE" w:rsidR="001D2C91" w:rsidRPr="0056448B" w:rsidRDefault="001D2C91" w:rsidP="0056448B">
      <w:pPr>
        <w:rPr>
          <w:rFonts w:ascii="Arial" w:hAnsi="Arial" w:cs="Arial"/>
        </w:rPr>
      </w:pPr>
    </w:p>
    <w:p w14:paraId="6C00936F" w14:textId="451C4A8F" w:rsidR="0056448B" w:rsidRPr="0056448B" w:rsidRDefault="0056448B" w:rsidP="0056448B">
      <w:pPr>
        <w:ind w:right="-36"/>
        <w:rPr>
          <w:rFonts w:ascii="Arial" w:hAnsi="Arial" w:cs="Arial"/>
          <w:bCs/>
          <w:color w:val="0D304A"/>
        </w:rPr>
      </w:pPr>
      <w:r w:rsidRPr="0056448B">
        <w:rPr>
          <w:rFonts w:ascii="Arial" w:hAnsi="Arial" w:cs="Arial"/>
          <w:b/>
          <w:bCs/>
          <w:color w:val="0D304A"/>
          <w:sz w:val="28"/>
          <w:szCs w:val="28"/>
        </w:rPr>
        <w:t>The Markets</w:t>
      </w:r>
    </w:p>
    <w:p w14:paraId="3F618395" w14:textId="696535D9"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 xml:space="preserve">Last week, the third quarter of 2020 came to an end – and the fourth quarter delivered a doozy of an October surprise. </w:t>
      </w:r>
    </w:p>
    <w:p w14:paraId="1B01C7AB" w14:textId="77777777" w:rsidR="0056448B" w:rsidRPr="0056448B" w:rsidRDefault="0056448B" w:rsidP="0056448B">
      <w:pPr>
        <w:ind w:right="-36"/>
        <w:rPr>
          <w:rFonts w:ascii="Arial" w:hAnsi="Arial" w:cs="Arial"/>
          <w:b/>
          <w:color w:val="000000" w:themeColor="text1"/>
        </w:rPr>
      </w:pPr>
      <w:r w:rsidRPr="0056448B">
        <w:rPr>
          <w:rFonts w:ascii="Arial" w:hAnsi="Arial" w:cs="Arial"/>
          <w:b/>
          <w:color w:val="000000" w:themeColor="text1"/>
        </w:rPr>
        <w:t>President Trump has the coronavirus</w:t>
      </w:r>
    </w:p>
    <w:p w14:paraId="27922FA9" w14:textId="6ACFC73B"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On Friday Americans awoke to the news President Trump had contracted COVID-19. Financial markets responded with relative equanimity. After a brief sell-off on Friday, major U.S. indices finished the week, and the third quarter, higher.</w:t>
      </w:r>
    </w:p>
    <w:p w14:paraId="2E3B1BBF" w14:textId="77777777" w:rsidR="0056448B" w:rsidRPr="0056448B" w:rsidRDefault="0056448B" w:rsidP="0056448B">
      <w:pPr>
        <w:ind w:right="-36"/>
        <w:rPr>
          <w:rFonts w:ascii="Arial" w:hAnsi="Arial" w:cs="Arial"/>
          <w:b/>
          <w:color w:val="000000" w:themeColor="text1"/>
        </w:rPr>
      </w:pPr>
      <w:r w:rsidRPr="0056448B">
        <w:rPr>
          <w:rFonts w:ascii="Arial" w:hAnsi="Arial" w:cs="Arial"/>
          <w:b/>
          <w:color w:val="000000" w:themeColor="text1"/>
        </w:rPr>
        <w:t>Market enthusiasm cooled in September</w:t>
      </w:r>
    </w:p>
    <w:p w14:paraId="3196D73B" w14:textId="401B16DF"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 xml:space="preserve">U.S. stock markets moved higher in July and August. Then, in early September, investors became skittish and major U.S. indices recorded losses for several weeks. The surge of uncertainty may have resulted from changing vaccine expectations, concerns about earnings, fears of a disputed election, and lack of new stimulus, reported Ben Levisohn of </w:t>
      </w:r>
      <w:r w:rsidRPr="0056448B">
        <w:rPr>
          <w:rFonts w:ascii="Arial" w:hAnsi="Arial" w:cs="Arial"/>
          <w:bCs/>
          <w:i/>
          <w:iCs/>
          <w:color w:val="000000" w:themeColor="text1"/>
        </w:rPr>
        <w:t>Barron’s.</w:t>
      </w:r>
    </w:p>
    <w:p w14:paraId="02CBCA07" w14:textId="77777777" w:rsidR="0056448B" w:rsidRPr="0056448B" w:rsidRDefault="0056448B" w:rsidP="0056448B">
      <w:pPr>
        <w:ind w:right="-36"/>
        <w:rPr>
          <w:rFonts w:ascii="Arial" w:hAnsi="Arial" w:cs="Arial"/>
          <w:b/>
          <w:color w:val="000000" w:themeColor="text1"/>
        </w:rPr>
      </w:pPr>
      <w:r w:rsidRPr="0056448B">
        <w:rPr>
          <w:rFonts w:ascii="Arial" w:hAnsi="Arial" w:cs="Arial"/>
          <w:b/>
          <w:color w:val="000000" w:themeColor="text1"/>
        </w:rPr>
        <w:t>The Federal Reserve committed to low rates for a long time</w:t>
      </w:r>
    </w:p>
    <w:p w14:paraId="57A1351E" w14:textId="6A494D57"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 xml:space="preserve">The Federal Reserve’s changing policies may have had an influence on markets, as well. The Fed intends to keep interest rates near zero for the foreseeable future. The </w:t>
      </w:r>
      <w:r w:rsidRPr="0056448B">
        <w:rPr>
          <w:rFonts w:ascii="Arial" w:hAnsi="Arial" w:cs="Arial"/>
          <w:bCs/>
          <w:i/>
          <w:iCs/>
          <w:color w:val="000000" w:themeColor="text1"/>
        </w:rPr>
        <w:t>Federal Open Market Committee (FOMC) statement</w:t>
      </w:r>
      <w:r w:rsidRPr="0056448B">
        <w:rPr>
          <w:rFonts w:ascii="Arial" w:hAnsi="Arial" w:cs="Arial"/>
          <w:bCs/>
          <w:color w:val="000000" w:themeColor="text1"/>
        </w:rPr>
        <w:t xml:space="preserve"> provided a big picture explanation, “The path of the economy will depend significantly on the course of the virus. The ongoing public health crisis will continue to weigh on economic activity, employment, and inflation in the near term, and poses considerable risks to the economic outlook over the medium term.”</w:t>
      </w:r>
    </w:p>
    <w:p w14:paraId="603F7912" w14:textId="1928E4C4"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Yields on 10-year U.S. Treasuries moved in a narrow range during the quarter, finishing near where they started.</w:t>
      </w:r>
    </w:p>
    <w:p w14:paraId="7E149F0C" w14:textId="77777777" w:rsidR="0056448B" w:rsidRPr="0056448B" w:rsidRDefault="0056448B" w:rsidP="0056448B">
      <w:pPr>
        <w:ind w:right="-36"/>
        <w:rPr>
          <w:rFonts w:ascii="Arial" w:hAnsi="Arial" w:cs="Arial"/>
          <w:b/>
          <w:color w:val="000000" w:themeColor="text1"/>
        </w:rPr>
      </w:pPr>
      <w:r w:rsidRPr="0056448B">
        <w:rPr>
          <w:rFonts w:ascii="Arial" w:hAnsi="Arial" w:cs="Arial"/>
          <w:b/>
          <w:color w:val="000000" w:themeColor="text1"/>
        </w:rPr>
        <w:t>Stimulus talks resumed last week</w:t>
      </w:r>
    </w:p>
    <w:p w14:paraId="78BD8BE2" w14:textId="50DCE4BB"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 xml:space="preserve">Treasury yields rose and stock markets perked last week when Congress resumed stimulus talks. Investors expect $1.3 to $1.5 trillion in new stimulus, according to </w:t>
      </w:r>
      <w:r w:rsidRPr="0056448B">
        <w:rPr>
          <w:rFonts w:ascii="Arial" w:hAnsi="Arial" w:cs="Arial"/>
          <w:bCs/>
          <w:i/>
          <w:iCs/>
          <w:color w:val="000000" w:themeColor="text1"/>
        </w:rPr>
        <w:t>BCA Research</w:t>
      </w:r>
      <w:r w:rsidRPr="0056448B">
        <w:rPr>
          <w:rFonts w:ascii="Arial" w:hAnsi="Arial" w:cs="Arial"/>
          <w:bCs/>
          <w:color w:val="000000" w:themeColor="text1"/>
        </w:rPr>
        <w:t xml:space="preserve"> cited by </w:t>
      </w:r>
      <w:r w:rsidRPr="0056448B">
        <w:rPr>
          <w:rFonts w:ascii="Arial" w:hAnsi="Arial" w:cs="Arial"/>
          <w:bCs/>
          <w:i/>
          <w:iCs/>
          <w:color w:val="000000" w:themeColor="text1"/>
        </w:rPr>
        <w:t>Kiplinger’s</w:t>
      </w:r>
      <w:r w:rsidRPr="0056448B">
        <w:rPr>
          <w:rFonts w:ascii="Arial" w:hAnsi="Arial" w:cs="Arial"/>
          <w:bCs/>
          <w:color w:val="000000" w:themeColor="text1"/>
        </w:rPr>
        <w:t>.</w:t>
      </w:r>
    </w:p>
    <w:p w14:paraId="611CCFBD" w14:textId="453FB63F"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lastRenderedPageBreak/>
        <w:t xml:space="preserve">Additional stimulus measures were expected early in the third quarter, after CARES Act provisions ran dry in July. However, better-than-expected economic data and a reluctance to increase the burgeoning budget deficit made some in Congress adopt a wait-and-see approach, reported Victor Reklaitis of </w:t>
      </w:r>
      <w:r w:rsidRPr="0056448B">
        <w:rPr>
          <w:rFonts w:ascii="Arial" w:hAnsi="Arial" w:cs="Arial"/>
          <w:bCs/>
          <w:i/>
          <w:iCs/>
          <w:color w:val="000000" w:themeColor="text1"/>
        </w:rPr>
        <w:t>MarketWatch</w:t>
      </w:r>
      <w:r w:rsidRPr="0056448B">
        <w:rPr>
          <w:rFonts w:ascii="Arial" w:hAnsi="Arial" w:cs="Arial"/>
          <w:bCs/>
          <w:color w:val="000000" w:themeColor="text1"/>
        </w:rPr>
        <w:t>.</w:t>
      </w:r>
    </w:p>
    <w:p w14:paraId="0B4520B8" w14:textId="383F6056"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 xml:space="preserve">By last Friday, stimulus negotiations appeared to have stalled again. However, there were new calls for action over the weekend, following Friday’s weaker-than-expected employment report, according to Jacob Pramuk of </w:t>
      </w:r>
      <w:r w:rsidRPr="0056448B">
        <w:rPr>
          <w:rFonts w:ascii="Arial" w:hAnsi="Arial" w:cs="Arial"/>
          <w:bCs/>
          <w:i/>
          <w:iCs/>
          <w:color w:val="000000" w:themeColor="text1"/>
        </w:rPr>
        <w:t>CNBC</w:t>
      </w:r>
      <w:r w:rsidRPr="0056448B">
        <w:rPr>
          <w:rFonts w:ascii="Arial" w:hAnsi="Arial" w:cs="Arial"/>
          <w:bCs/>
          <w:color w:val="000000" w:themeColor="text1"/>
        </w:rPr>
        <w:t>.</w:t>
      </w:r>
    </w:p>
    <w:p w14:paraId="7604E44B" w14:textId="77777777" w:rsidR="0056448B" w:rsidRPr="0056448B" w:rsidRDefault="0056448B" w:rsidP="0056448B">
      <w:pPr>
        <w:ind w:right="-36"/>
        <w:rPr>
          <w:rFonts w:ascii="Arial" w:hAnsi="Arial" w:cs="Arial"/>
          <w:b/>
          <w:color w:val="000000" w:themeColor="text1"/>
        </w:rPr>
      </w:pPr>
      <w:r w:rsidRPr="0056448B">
        <w:rPr>
          <w:rFonts w:ascii="Arial" w:hAnsi="Arial" w:cs="Arial"/>
          <w:b/>
          <w:color w:val="000000" w:themeColor="text1"/>
        </w:rPr>
        <w:t>The pace of recovery may be slowing</w:t>
      </w:r>
    </w:p>
    <w:p w14:paraId="6D78C248" w14:textId="725F87B9"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Throughout the third quarter, employment improved steadily. In July it was 10.2 percent. By September, it had fallen to 7.9 percent. While continued improvement is important, the pace of jobs creation slowed last month. Consensus estimates for September suggested the economy would produce 850,000 new jobs. It came up short at 661,000. That could be a sign economic growth is slowing.</w:t>
      </w:r>
    </w:p>
    <w:p w14:paraId="4CC23599" w14:textId="77777777" w:rsidR="0056448B" w:rsidRPr="0056448B" w:rsidRDefault="0056448B" w:rsidP="0056448B">
      <w:pPr>
        <w:ind w:right="-36"/>
        <w:rPr>
          <w:rFonts w:ascii="Arial" w:hAnsi="Arial" w:cs="Arial"/>
          <w:b/>
          <w:color w:val="000000" w:themeColor="text1"/>
        </w:rPr>
      </w:pPr>
      <w:r w:rsidRPr="0056448B">
        <w:rPr>
          <w:rFonts w:ascii="Arial" w:hAnsi="Arial" w:cs="Arial"/>
          <w:b/>
          <w:color w:val="000000" w:themeColor="text1"/>
        </w:rPr>
        <w:t>Economic growth improved during the third quarter</w:t>
      </w:r>
    </w:p>
    <w:p w14:paraId="774E6863" w14:textId="55E6C528"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 xml:space="preserve">During the second quarter (April through June), the U.S. economy shrank by about a third (-31.7 percent). Data for third quarter economic growth is not yet available, but it is expected to show a significant improvement. The </w:t>
      </w:r>
      <w:r w:rsidRPr="0056448B">
        <w:rPr>
          <w:rFonts w:ascii="Arial" w:hAnsi="Arial" w:cs="Arial"/>
          <w:bCs/>
          <w:i/>
          <w:iCs/>
          <w:color w:val="000000" w:themeColor="text1"/>
        </w:rPr>
        <w:t>Atlanta Federal Reserve’s GDPNow</w:t>
      </w:r>
      <w:r w:rsidRPr="0056448B">
        <w:rPr>
          <w:rFonts w:ascii="Arial" w:hAnsi="Arial" w:cs="Arial"/>
          <w:bCs/>
          <w:color w:val="000000" w:themeColor="text1"/>
        </w:rPr>
        <w:t xml:space="preserve"> estimates third quarter growth could be as high as 34.6 percent.</w:t>
      </w:r>
    </w:p>
    <w:p w14:paraId="3AC20699" w14:textId="1126809A"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 xml:space="preserve">While a double-digit rebound would be welcome news, Aaron Weitzman of </w:t>
      </w:r>
      <w:r w:rsidRPr="0056448B">
        <w:rPr>
          <w:rFonts w:ascii="Arial" w:hAnsi="Arial" w:cs="Arial"/>
          <w:bCs/>
          <w:i/>
          <w:iCs/>
          <w:color w:val="000000" w:themeColor="text1"/>
        </w:rPr>
        <w:t>The Bond Buyer</w:t>
      </w:r>
      <w:r w:rsidRPr="0056448B">
        <w:rPr>
          <w:rFonts w:ascii="Arial" w:hAnsi="Arial" w:cs="Arial"/>
          <w:bCs/>
          <w:color w:val="000000" w:themeColor="text1"/>
        </w:rPr>
        <w:t xml:space="preserve"> pointed out a 34.6 percent rebound does not offset a 31.7 percent contraction. The economy needs to grow by 46 percent to get back to even.</w:t>
      </w:r>
    </w:p>
    <w:p w14:paraId="4083E037" w14:textId="77777777" w:rsidR="0056448B" w:rsidRPr="0056448B" w:rsidRDefault="0056448B" w:rsidP="0056448B">
      <w:pPr>
        <w:ind w:right="-36"/>
        <w:rPr>
          <w:rFonts w:ascii="Arial" w:hAnsi="Arial" w:cs="Arial"/>
          <w:b/>
          <w:color w:val="000000" w:themeColor="text1"/>
        </w:rPr>
      </w:pPr>
      <w:r w:rsidRPr="0056448B">
        <w:rPr>
          <w:rFonts w:ascii="Arial" w:hAnsi="Arial" w:cs="Arial"/>
          <w:b/>
          <w:color w:val="000000" w:themeColor="text1"/>
        </w:rPr>
        <w:t>Volatility is likely to continue</w:t>
      </w:r>
    </w:p>
    <w:p w14:paraId="395DEB9D" w14:textId="145063BF" w:rsidR="0056448B" w:rsidRPr="0056448B" w:rsidRDefault="0056448B" w:rsidP="0056448B">
      <w:pPr>
        <w:ind w:right="-36"/>
        <w:rPr>
          <w:rFonts w:ascii="Arial" w:hAnsi="Arial" w:cs="Arial"/>
          <w:bCs/>
          <w:color w:val="000000" w:themeColor="text1"/>
        </w:rPr>
      </w:pPr>
      <w:r w:rsidRPr="0056448B">
        <w:rPr>
          <w:rFonts w:ascii="Arial" w:hAnsi="Arial" w:cs="Arial"/>
          <w:bCs/>
          <w:color w:val="000000" w:themeColor="text1"/>
        </w:rPr>
        <w:t>Global markets may be volatile through the end of 2020.</w:t>
      </w:r>
      <w:r w:rsidR="0026229E">
        <w:rPr>
          <w:rFonts w:ascii="Arial" w:hAnsi="Arial" w:cs="Arial"/>
          <w:bCs/>
          <w:color w:val="000000" w:themeColor="text1"/>
        </w:rPr>
        <w:br/>
      </w:r>
    </w:p>
    <w:tbl>
      <w:tblPr>
        <w:tblW w:w="0" w:type="auto"/>
        <w:tblLayout w:type="fixed"/>
        <w:tblLook w:val="0000" w:firstRow="0" w:lastRow="0" w:firstColumn="0" w:lastColumn="0" w:noHBand="0" w:noVBand="0"/>
      </w:tblPr>
      <w:tblGrid>
        <w:gridCol w:w="3685"/>
        <w:gridCol w:w="1080"/>
        <w:gridCol w:w="990"/>
        <w:gridCol w:w="990"/>
        <w:gridCol w:w="900"/>
        <w:gridCol w:w="900"/>
        <w:gridCol w:w="990"/>
      </w:tblGrid>
      <w:tr w:rsidR="0056448B" w:rsidRPr="0056448B" w14:paraId="2B151366" w14:textId="77777777" w:rsidTr="00C51C1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4BD53" w14:textId="77777777" w:rsidR="0056448B" w:rsidRPr="0056448B" w:rsidRDefault="0056448B" w:rsidP="0056448B">
            <w:pPr>
              <w:ind w:right="-36"/>
              <w:jc w:val="center"/>
              <w:rPr>
                <w:rFonts w:ascii="Arial" w:hAnsi="Arial" w:cs="Arial"/>
                <w:b/>
                <w:bCs/>
                <w:color w:val="000000" w:themeColor="text1"/>
                <w:sz w:val="18"/>
                <w:szCs w:val="18"/>
              </w:rPr>
            </w:pPr>
            <w:r w:rsidRPr="0056448B">
              <w:rPr>
                <w:rFonts w:ascii="Arial" w:hAnsi="Arial" w:cs="Arial"/>
                <w:color w:val="000000" w:themeColor="text1"/>
                <w:sz w:val="18"/>
                <w:szCs w:val="18"/>
              </w:rPr>
              <w:br w:type="page"/>
            </w:r>
            <w:r w:rsidRPr="0056448B">
              <w:rPr>
                <w:rFonts w:ascii="Arial" w:hAnsi="Arial" w:cs="Arial"/>
                <w:b/>
                <w:bCs/>
                <w:color w:val="000000" w:themeColor="text1"/>
                <w:sz w:val="18"/>
                <w:szCs w:val="18"/>
              </w:rPr>
              <w:t>Data as of 10/2/20</w:t>
            </w:r>
          </w:p>
        </w:tc>
        <w:tc>
          <w:tcPr>
            <w:tcW w:w="1080" w:type="dxa"/>
            <w:tcBorders>
              <w:top w:val="single" w:sz="4" w:space="0" w:color="auto"/>
              <w:left w:val="nil"/>
              <w:bottom w:val="single" w:sz="4" w:space="0" w:color="auto"/>
              <w:right w:val="single" w:sz="4" w:space="0" w:color="auto"/>
            </w:tcBorders>
            <w:vAlign w:val="center"/>
          </w:tcPr>
          <w:p w14:paraId="13800A72" w14:textId="77777777" w:rsidR="0056448B" w:rsidRPr="0056448B" w:rsidRDefault="0056448B" w:rsidP="0056448B">
            <w:pPr>
              <w:ind w:right="-36"/>
              <w:jc w:val="center"/>
              <w:rPr>
                <w:rFonts w:ascii="Arial" w:hAnsi="Arial" w:cs="Arial"/>
                <w:b/>
                <w:bCs/>
                <w:color w:val="000000" w:themeColor="text1"/>
                <w:sz w:val="18"/>
                <w:szCs w:val="18"/>
              </w:rPr>
            </w:pPr>
            <w:r w:rsidRPr="0056448B">
              <w:rPr>
                <w:rFonts w:ascii="Arial" w:hAnsi="Arial" w:cs="Arial"/>
                <w:b/>
                <w:bCs/>
                <w:color w:val="000000" w:themeColor="text1"/>
                <w:sz w:val="18"/>
                <w:szCs w:val="18"/>
              </w:rPr>
              <w:t>1-Week</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D8378" w14:textId="77777777" w:rsidR="0056448B" w:rsidRPr="0056448B" w:rsidRDefault="0056448B" w:rsidP="0056448B">
            <w:pPr>
              <w:ind w:right="-36"/>
              <w:jc w:val="center"/>
              <w:rPr>
                <w:rFonts w:ascii="Arial" w:hAnsi="Arial" w:cs="Arial"/>
                <w:b/>
                <w:bCs/>
                <w:color w:val="000000" w:themeColor="text1"/>
                <w:sz w:val="18"/>
                <w:szCs w:val="18"/>
              </w:rPr>
            </w:pPr>
            <w:r w:rsidRPr="0056448B">
              <w:rPr>
                <w:rFonts w:ascii="Arial" w:hAnsi="Arial" w:cs="Arial"/>
                <w:b/>
                <w:bCs/>
                <w:color w:val="000000" w:themeColor="text1"/>
                <w:sz w:val="18"/>
                <w:szCs w:val="18"/>
              </w:rPr>
              <w:t>Y-T-D</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1495415" w14:textId="77777777" w:rsidR="0056448B" w:rsidRPr="0056448B" w:rsidRDefault="0056448B" w:rsidP="0056448B">
            <w:pPr>
              <w:ind w:right="-36"/>
              <w:jc w:val="center"/>
              <w:rPr>
                <w:rFonts w:ascii="Arial" w:hAnsi="Arial" w:cs="Arial"/>
                <w:b/>
                <w:bCs/>
                <w:color w:val="000000" w:themeColor="text1"/>
                <w:sz w:val="18"/>
                <w:szCs w:val="18"/>
              </w:rPr>
            </w:pPr>
            <w:r w:rsidRPr="0056448B">
              <w:rPr>
                <w:rFonts w:ascii="Arial" w:hAnsi="Arial" w:cs="Arial"/>
                <w:b/>
                <w:bCs/>
                <w:color w:val="000000" w:themeColor="text1"/>
                <w:sz w:val="18"/>
                <w:szCs w:val="18"/>
              </w:rPr>
              <w:t>1-Year</w:t>
            </w:r>
          </w:p>
        </w:tc>
        <w:tc>
          <w:tcPr>
            <w:tcW w:w="900" w:type="dxa"/>
            <w:tcBorders>
              <w:top w:val="single" w:sz="4" w:space="0" w:color="auto"/>
              <w:left w:val="nil"/>
              <w:bottom w:val="single" w:sz="4" w:space="0" w:color="auto"/>
              <w:right w:val="single" w:sz="4" w:space="0" w:color="auto"/>
            </w:tcBorders>
            <w:shd w:val="clear" w:color="auto" w:fill="auto"/>
            <w:vAlign w:val="center"/>
          </w:tcPr>
          <w:p w14:paraId="652B7A06" w14:textId="77777777" w:rsidR="0056448B" w:rsidRPr="0056448B" w:rsidRDefault="0056448B" w:rsidP="0056448B">
            <w:pPr>
              <w:ind w:right="-36"/>
              <w:jc w:val="center"/>
              <w:rPr>
                <w:rFonts w:ascii="Arial" w:hAnsi="Arial" w:cs="Arial"/>
                <w:b/>
                <w:bCs/>
                <w:color w:val="000000" w:themeColor="text1"/>
                <w:sz w:val="18"/>
                <w:szCs w:val="18"/>
              </w:rPr>
            </w:pPr>
            <w:r w:rsidRPr="0056448B">
              <w:rPr>
                <w:rFonts w:ascii="Arial" w:hAnsi="Arial" w:cs="Arial"/>
                <w:b/>
                <w:bCs/>
                <w:color w:val="000000" w:themeColor="text1"/>
                <w:sz w:val="18"/>
                <w:szCs w:val="18"/>
              </w:rPr>
              <w:t>3-Year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5348F" w14:textId="77777777" w:rsidR="0056448B" w:rsidRPr="0056448B" w:rsidRDefault="0056448B" w:rsidP="0056448B">
            <w:pPr>
              <w:ind w:right="-36"/>
              <w:jc w:val="center"/>
              <w:rPr>
                <w:rFonts w:ascii="Arial" w:hAnsi="Arial" w:cs="Arial"/>
                <w:b/>
                <w:bCs/>
                <w:color w:val="000000" w:themeColor="text1"/>
                <w:sz w:val="18"/>
                <w:szCs w:val="18"/>
              </w:rPr>
            </w:pPr>
            <w:r w:rsidRPr="0056448B">
              <w:rPr>
                <w:rFonts w:ascii="Arial" w:hAnsi="Arial" w:cs="Arial"/>
                <w:b/>
                <w:bCs/>
                <w:color w:val="000000" w:themeColor="text1"/>
                <w:sz w:val="18"/>
                <w:szCs w:val="18"/>
              </w:rPr>
              <w:t>5-Year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EE3FDF" w14:textId="77777777" w:rsidR="0056448B" w:rsidRPr="0056448B" w:rsidRDefault="0056448B" w:rsidP="0056448B">
            <w:pPr>
              <w:ind w:right="-36"/>
              <w:jc w:val="center"/>
              <w:rPr>
                <w:rFonts w:ascii="Arial" w:hAnsi="Arial" w:cs="Arial"/>
                <w:b/>
                <w:bCs/>
                <w:color w:val="000000" w:themeColor="text1"/>
                <w:sz w:val="18"/>
                <w:szCs w:val="18"/>
              </w:rPr>
            </w:pPr>
            <w:r w:rsidRPr="0056448B">
              <w:rPr>
                <w:rFonts w:ascii="Arial" w:hAnsi="Arial" w:cs="Arial"/>
                <w:b/>
                <w:bCs/>
                <w:color w:val="000000" w:themeColor="text1"/>
                <w:sz w:val="18"/>
                <w:szCs w:val="18"/>
              </w:rPr>
              <w:t>10-Year</w:t>
            </w:r>
          </w:p>
        </w:tc>
      </w:tr>
      <w:tr w:rsidR="0056448B" w:rsidRPr="0056448B" w14:paraId="25B1B5B8" w14:textId="77777777" w:rsidTr="00C51C18">
        <w:trPr>
          <w:trHeight w:val="215"/>
        </w:trPr>
        <w:tc>
          <w:tcPr>
            <w:tcW w:w="3685" w:type="dxa"/>
            <w:tcBorders>
              <w:top w:val="nil"/>
              <w:left w:val="single" w:sz="4" w:space="0" w:color="auto"/>
              <w:bottom w:val="single" w:sz="4" w:space="0" w:color="auto"/>
              <w:right w:val="single" w:sz="4" w:space="0" w:color="auto"/>
            </w:tcBorders>
            <w:shd w:val="clear" w:color="auto" w:fill="auto"/>
            <w:noWrap/>
            <w:vAlign w:val="center"/>
          </w:tcPr>
          <w:p w14:paraId="6295EB2C" w14:textId="77777777" w:rsidR="0056448B" w:rsidRPr="0056448B" w:rsidRDefault="0056448B" w:rsidP="0056448B">
            <w:pPr>
              <w:ind w:right="-36"/>
              <w:rPr>
                <w:rFonts w:ascii="Arial" w:hAnsi="Arial" w:cs="Arial"/>
                <w:sz w:val="18"/>
                <w:szCs w:val="18"/>
              </w:rPr>
            </w:pPr>
            <w:r w:rsidRPr="0056448B">
              <w:rPr>
                <w:rFonts w:ascii="Arial" w:hAnsi="Arial" w:cs="Arial"/>
                <w:sz w:val="18"/>
                <w:szCs w:val="18"/>
              </w:rPr>
              <w:t>Standard &amp; Poor's 500 (Domestic Stocks)</w:t>
            </w:r>
          </w:p>
        </w:tc>
        <w:tc>
          <w:tcPr>
            <w:tcW w:w="1080" w:type="dxa"/>
            <w:tcBorders>
              <w:top w:val="single" w:sz="4" w:space="0" w:color="auto"/>
              <w:left w:val="nil"/>
              <w:bottom w:val="single" w:sz="4" w:space="0" w:color="auto"/>
              <w:right w:val="single" w:sz="4" w:space="0" w:color="auto"/>
            </w:tcBorders>
            <w:vAlign w:val="center"/>
          </w:tcPr>
          <w:p w14:paraId="2C6BDCE3"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1.5%</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4105CB81"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3.6%</w:t>
            </w:r>
          </w:p>
        </w:tc>
        <w:tc>
          <w:tcPr>
            <w:tcW w:w="990" w:type="dxa"/>
            <w:tcBorders>
              <w:top w:val="nil"/>
              <w:left w:val="nil"/>
              <w:bottom w:val="single" w:sz="4" w:space="0" w:color="auto"/>
              <w:right w:val="single" w:sz="4" w:space="0" w:color="auto"/>
            </w:tcBorders>
            <w:shd w:val="clear" w:color="auto" w:fill="auto"/>
            <w:noWrap/>
            <w:vAlign w:val="center"/>
          </w:tcPr>
          <w:p w14:paraId="165CE1F1"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16.0%</w:t>
            </w:r>
          </w:p>
        </w:tc>
        <w:tc>
          <w:tcPr>
            <w:tcW w:w="900" w:type="dxa"/>
            <w:tcBorders>
              <w:top w:val="single" w:sz="4" w:space="0" w:color="auto"/>
              <w:left w:val="nil"/>
              <w:bottom w:val="single" w:sz="4" w:space="0" w:color="auto"/>
              <w:right w:val="single" w:sz="4" w:space="0" w:color="auto"/>
            </w:tcBorders>
            <w:shd w:val="clear" w:color="auto" w:fill="auto"/>
            <w:vAlign w:val="center"/>
          </w:tcPr>
          <w:p w14:paraId="0454985F"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9.8%</w:t>
            </w:r>
          </w:p>
        </w:tc>
        <w:tc>
          <w:tcPr>
            <w:tcW w:w="900" w:type="dxa"/>
            <w:tcBorders>
              <w:top w:val="nil"/>
              <w:left w:val="single" w:sz="4" w:space="0" w:color="auto"/>
              <w:bottom w:val="single" w:sz="4" w:space="0" w:color="auto"/>
              <w:right w:val="single" w:sz="4" w:space="0" w:color="auto"/>
            </w:tcBorders>
            <w:shd w:val="clear" w:color="auto" w:fill="auto"/>
            <w:vAlign w:val="center"/>
          </w:tcPr>
          <w:p w14:paraId="3C66225E"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11.4%</w:t>
            </w:r>
          </w:p>
        </w:tc>
        <w:tc>
          <w:tcPr>
            <w:tcW w:w="990" w:type="dxa"/>
            <w:tcBorders>
              <w:top w:val="nil"/>
              <w:left w:val="single" w:sz="4" w:space="0" w:color="auto"/>
              <w:bottom w:val="single" w:sz="4" w:space="0" w:color="auto"/>
              <w:right w:val="single" w:sz="4" w:space="0" w:color="auto"/>
            </w:tcBorders>
            <w:shd w:val="clear" w:color="auto" w:fill="auto"/>
            <w:vAlign w:val="center"/>
          </w:tcPr>
          <w:p w14:paraId="35415048"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11.4%</w:t>
            </w:r>
          </w:p>
        </w:tc>
      </w:tr>
      <w:tr w:rsidR="0056448B" w:rsidRPr="0056448B" w14:paraId="761CC194" w14:textId="77777777" w:rsidTr="00C51C1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52C56" w14:textId="77777777" w:rsidR="0056448B" w:rsidRPr="0056448B" w:rsidRDefault="0056448B" w:rsidP="0056448B">
            <w:pPr>
              <w:ind w:right="-36"/>
              <w:rPr>
                <w:rFonts w:ascii="Arial" w:hAnsi="Arial" w:cs="Arial"/>
                <w:sz w:val="18"/>
                <w:szCs w:val="18"/>
              </w:rPr>
            </w:pPr>
            <w:r w:rsidRPr="0056448B">
              <w:rPr>
                <w:rFonts w:ascii="Arial" w:hAnsi="Arial" w:cs="Arial"/>
                <w:sz w:val="18"/>
                <w:szCs w:val="18"/>
              </w:rPr>
              <w:t>Dow Jones Global ex-U.S.</w:t>
            </w:r>
          </w:p>
        </w:tc>
        <w:tc>
          <w:tcPr>
            <w:tcW w:w="1080" w:type="dxa"/>
            <w:tcBorders>
              <w:top w:val="single" w:sz="4" w:space="0" w:color="auto"/>
              <w:left w:val="nil"/>
              <w:bottom w:val="single" w:sz="4" w:space="0" w:color="auto"/>
              <w:right w:val="single" w:sz="4" w:space="0" w:color="auto"/>
            </w:tcBorders>
            <w:vAlign w:val="center"/>
          </w:tcPr>
          <w:p w14:paraId="4ED2A693"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D2C40"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-6.5</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5A7345E"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3.5</w:t>
            </w:r>
          </w:p>
        </w:tc>
        <w:tc>
          <w:tcPr>
            <w:tcW w:w="900" w:type="dxa"/>
            <w:tcBorders>
              <w:top w:val="single" w:sz="4" w:space="0" w:color="auto"/>
              <w:left w:val="nil"/>
              <w:bottom w:val="single" w:sz="4" w:space="0" w:color="auto"/>
              <w:right w:val="single" w:sz="4" w:space="0" w:color="auto"/>
            </w:tcBorders>
            <w:shd w:val="clear" w:color="auto" w:fill="auto"/>
            <w:vAlign w:val="center"/>
          </w:tcPr>
          <w:p w14:paraId="5A90DEEE"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2C526B5"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3.6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06AA3DA"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1.8</w:t>
            </w:r>
          </w:p>
        </w:tc>
      </w:tr>
      <w:tr w:rsidR="0056448B" w:rsidRPr="0056448B" w14:paraId="74A12AAB" w14:textId="77777777" w:rsidTr="00C51C1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B4460" w14:textId="77777777" w:rsidR="0056448B" w:rsidRPr="0056448B" w:rsidRDefault="0056448B" w:rsidP="0056448B">
            <w:pPr>
              <w:ind w:right="-36"/>
              <w:rPr>
                <w:rFonts w:ascii="Arial" w:hAnsi="Arial" w:cs="Arial"/>
                <w:sz w:val="18"/>
                <w:szCs w:val="18"/>
              </w:rPr>
            </w:pPr>
            <w:r w:rsidRPr="0056448B">
              <w:rPr>
                <w:rFonts w:ascii="Arial" w:hAnsi="Arial" w:cs="Arial"/>
                <w:sz w:val="18"/>
                <w:szCs w:val="18"/>
              </w:rPr>
              <w:t>10-year Treasury Note (Yield Only)</w:t>
            </w:r>
          </w:p>
        </w:tc>
        <w:tc>
          <w:tcPr>
            <w:tcW w:w="1080" w:type="dxa"/>
            <w:tcBorders>
              <w:top w:val="single" w:sz="4" w:space="0" w:color="auto"/>
              <w:left w:val="nil"/>
              <w:bottom w:val="single" w:sz="4" w:space="0" w:color="auto"/>
              <w:right w:val="single" w:sz="4" w:space="0" w:color="auto"/>
            </w:tcBorders>
            <w:vAlign w:val="center"/>
          </w:tcPr>
          <w:p w14:paraId="24BAE939"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0.7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1FB16"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NA</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85A4A7E"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1.6</w:t>
            </w:r>
          </w:p>
        </w:tc>
        <w:tc>
          <w:tcPr>
            <w:tcW w:w="900" w:type="dxa"/>
            <w:tcBorders>
              <w:top w:val="single" w:sz="4" w:space="0" w:color="auto"/>
              <w:left w:val="nil"/>
              <w:bottom w:val="single" w:sz="4" w:space="0" w:color="auto"/>
              <w:right w:val="single" w:sz="4" w:space="0" w:color="auto"/>
            </w:tcBorders>
            <w:shd w:val="clear" w:color="auto" w:fill="auto"/>
            <w:vAlign w:val="center"/>
          </w:tcPr>
          <w:p w14:paraId="4AE892E6"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2.3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585433"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A30FC7"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2.5</w:t>
            </w:r>
          </w:p>
        </w:tc>
      </w:tr>
      <w:tr w:rsidR="0056448B" w:rsidRPr="0056448B" w14:paraId="187CB2C1" w14:textId="77777777" w:rsidTr="00C51C1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ED92E" w14:textId="77777777" w:rsidR="0056448B" w:rsidRPr="0056448B" w:rsidRDefault="0056448B" w:rsidP="0056448B">
            <w:pPr>
              <w:ind w:right="-36"/>
              <w:rPr>
                <w:rFonts w:ascii="Arial" w:hAnsi="Arial" w:cs="Arial"/>
                <w:sz w:val="18"/>
                <w:szCs w:val="18"/>
              </w:rPr>
            </w:pPr>
            <w:r w:rsidRPr="0056448B">
              <w:rPr>
                <w:rFonts w:ascii="Arial" w:hAnsi="Arial" w:cs="Arial"/>
                <w:sz w:val="18"/>
                <w:szCs w:val="18"/>
              </w:rPr>
              <w:t>Gold (per ounce)</w:t>
            </w:r>
          </w:p>
        </w:tc>
        <w:tc>
          <w:tcPr>
            <w:tcW w:w="1080" w:type="dxa"/>
            <w:tcBorders>
              <w:top w:val="single" w:sz="4" w:space="0" w:color="auto"/>
              <w:left w:val="nil"/>
              <w:bottom w:val="single" w:sz="4" w:space="0" w:color="auto"/>
              <w:right w:val="single" w:sz="4" w:space="0" w:color="auto"/>
            </w:tcBorders>
            <w:vAlign w:val="center"/>
          </w:tcPr>
          <w:p w14:paraId="170EABAE"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CF041"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25.0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EF9B060"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27.5</w:t>
            </w:r>
          </w:p>
        </w:tc>
        <w:tc>
          <w:tcPr>
            <w:tcW w:w="900" w:type="dxa"/>
            <w:tcBorders>
              <w:top w:val="single" w:sz="4" w:space="0" w:color="auto"/>
              <w:left w:val="nil"/>
              <w:bottom w:val="single" w:sz="4" w:space="0" w:color="auto"/>
              <w:right w:val="single" w:sz="4" w:space="0" w:color="auto"/>
            </w:tcBorders>
            <w:shd w:val="clear" w:color="auto" w:fill="auto"/>
            <w:vAlign w:val="center"/>
          </w:tcPr>
          <w:p w14:paraId="0BF026A6"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14.3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0764A1"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10.8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AC426B"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3.8</w:t>
            </w:r>
          </w:p>
        </w:tc>
      </w:tr>
      <w:tr w:rsidR="0056448B" w:rsidRPr="0056448B" w14:paraId="1BBCBA63" w14:textId="77777777" w:rsidTr="00C51C1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24C37" w14:textId="77777777" w:rsidR="0056448B" w:rsidRPr="0056448B" w:rsidRDefault="0056448B" w:rsidP="0056448B">
            <w:pPr>
              <w:ind w:right="-36"/>
              <w:rPr>
                <w:rFonts w:ascii="Arial" w:hAnsi="Arial" w:cs="Arial"/>
                <w:sz w:val="18"/>
                <w:szCs w:val="18"/>
              </w:rPr>
            </w:pPr>
            <w:r w:rsidRPr="0056448B">
              <w:rPr>
                <w:rFonts w:ascii="Arial" w:hAnsi="Arial" w:cs="Arial"/>
                <w:sz w:val="18"/>
                <w:szCs w:val="18"/>
              </w:rPr>
              <w:t>Bloomberg Commodity Index</w:t>
            </w:r>
          </w:p>
        </w:tc>
        <w:tc>
          <w:tcPr>
            <w:tcW w:w="1080" w:type="dxa"/>
            <w:tcBorders>
              <w:top w:val="single" w:sz="4" w:space="0" w:color="auto"/>
              <w:left w:val="nil"/>
              <w:bottom w:val="single" w:sz="4" w:space="0" w:color="auto"/>
              <w:right w:val="single" w:sz="4" w:space="0" w:color="auto"/>
            </w:tcBorders>
            <w:vAlign w:val="center"/>
          </w:tcPr>
          <w:p w14:paraId="3E929300"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E499C"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-13.7</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CFAB1A6"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14:paraId="187E0E31"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-5.9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6F31BF5"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-4.5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845BA6" w14:textId="77777777" w:rsidR="0056448B" w:rsidRPr="0056448B" w:rsidRDefault="0056448B" w:rsidP="0056448B">
            <w:pPr>
              <w:ind w:right="-36"/>
              <w:jc w:val="center"/>
              <w:rPr>
                <w:rFonts w:ascii="Arial" w:hAnsi="Arial" w:cs="Arial"/>
                <w:sz w:val="18"/>
                <w:szCs w:val="18"/>
              </w:rPr>
            </w:pPr>
            <w:r w:rsidRPr="0056448B">
              <w:rPr>
                <w:rFonts w:ascii="Arial" w:hAnsi="Arial" w:cs="Arial"/>
                <w:sz w:val="18"/>
                <w:szCs w:val="18"/>
              </w:rPr>
              <w:t>-6.6</w:t>
            </w:r>
          </w:p>
        </w:tc>
      </w:tr>
    </w:tbl>
    <w:p w14:paraId="32471B97" w14:textId="77777777" w:rsidR="0056448B" w:rsidRPr="0056448B" w:rsidRDefault="0056448B" w:rsidP="0056448B">
      <w:pPr>
        <w:ind w:left="90" w:right="54"/>
        <w:rPr>
          <w:rFonts w:ascii="Arial" w:hAnsi="Arial" w:cs="Arial"/>
          <w:sz w:val="16"/>
        </w:rPr>
      </w:pPr>
      <w:r w:rsidRPr="0056448B">
        <w:rPr>
          <w:rFonts w:ascii="Arial" w:hAnsi="Arial" w:cs="Arial"/>
          <w:sz w:val="16"/>
        </w:rPr>
        <w:t xml:space="preserve">S&amp;P 500, Dow Jones Global ex-US, Gold, Bloomberg Commodity Index returns exclude reinvested dividends (gold does not pay a dividend) and the three-, five-, and 10-year returns are annualized; and the 10-year Treasury Note is simply the yield at the close of the day on each of the historical time periods. </w:t>
      </w:r>
    </w:p>
    <w:p w14:paraId="6CFA4F76" w14:textId="77777777" w:rsidR="0056448B" w:rsidRPr="0056448B" w:rsidRDefault="0056448B" w:rsidP="0056448B">
      <w:pPr>
        <w:ind w:left="90" w:right="54"/>
        <w:rPr>
          <w:rFonts w:ascii="Arial" w:hAnsi="Arial" w:cs="Arial"/>
          <w:sz w:val="16"/>
        </w:rPr>
      </w:pPr>
      <w:r w:rsidRPr="0056448B">
        <w:rPr>
          <w:rFonts w:ascii="Arial" w:hAnsi="Arial" w:cs="Arial"/>
          <w:sz w:val="16"/>
        </w:rPr>
        <w:t>Sources: Yahoo! Finance, MarketWatch, djindexes.com, London Bullion Market Association.</w:t>
      </w:r>
    </w:p>
    <w:p w14:paraId="4FBCAD49" w14:textId="446EF682" w:rsidR="0056448B" w:rsidRPr="0026229E" w:rsidRDefault="0056448B" w:rsidP="0026229E">
      <w:pPr>
        <w:ind w:left="90" w:right="54"/>
        <w:rPr>
          <w:rFonts w:ascii="Arial" w:hAnsi="Arial" w:cs="Arial"/>
          <w:szCs w:val="36"/>
        </w:rPr>
      </w:pPr>
      <w:r w:rsidRPr="0056448B">
        <w:rPr>
          <w:rFonts w:ascii="Arial" w:hAnsi="Arial" w:cs="Arial"/>
          <w:sz w:val="16"/>
        </w:rPr>
        <w:t>Past performance is no guarantee of future results. Indices are unmanaged and cannot be invested into directly. N/A means not applicable.</w:t>
      </w:r>
      <w:r w:rsidR="0026229E">
        <w:rPr>
          <w:rFonts w:ascii="Arial" w:hAnsi="Arial" w:cs="Arial"/>
          <w:sz w:val="16"/>
        </w:rPr>
        <w:br/>
      </w:r>
    </w:p>
    <w:p w14:paraId="78384851" w14:textId="0D204B19" w:rsidR="0056448B" w:rsidRPr="0056448B" w:rsidRDefault="0056448B" w:rsidP="0056448B">
      <w:pPr>
        <w:ind w:right="-36"/>
        <w:rPr>
          <w:rFonts w:ascii="Arial" w:hAnsi="Arial" w:cs="Arial"/>
        </w:rPr>
      </w:pPr>
      <w:r w:rsidRPr="0056448B">
        <w:rPr>
          <w:rFonts w:ascii="Arial" w:hAnsi="Arial" w:cs="Arial"/>
          <w:b/>
          <w:bCs/>
          <w:caps/>
          <w:color w:val="0D304A"/>
        </w:rPr>
        <w:t>the very best wrong test answers.</w:t>
      </w:r>
      <w:r w:rsidRPr="0056448B">
        <w:rPr>
          <w:rFonts w:ascii="Arial" w:hAnsi="Arial" w:cs="Arial"/>
          <w:b/>
          <w:bCs/>
          <w:caps/>
          <w:color w:val="35DB3F"/>
        </w:rPr>
        <w:t xml:space="preserve"> </w:t>
      </w:r>
      <w:r w:rsidRPr="0056448B">
        <w:rPr>
          <w:rFonts w:ascii="Arial" w:hAnsi="Arial" w:cs="Arial"/>
          <w:color w:val="000000" w:themeColor="text1"/>
        </w:rPr>
        <w:t xml:space="preserve">Almost everyone has come across a test question they couldn’t answer. Some ingenious souls provide their teachers with some humor instead. British </w:t>
      </w:r>
      <w:r w:rsidRPr="0056448B">
        <w:rPr>
          <w:rFonts w:ascii="Arial" w:hAnsi="Arial" w:cs="Arial"/>
        </w:rPr>
        <w:t xml:space="preserve">author Richard Benson asked teachers to share their favorite wrong test answers, and he shared a few with </w:t>
      </w:r>
      <w:r w:rsidRPr="0056448B">
        <w:rPr>
          <w:rFonts w:ascii="Arial" w:hAnsi="Arial" w:cs="Arial"/>
          <w:i/>
          <w:iCs/>
        </w:rPr>
        <w:t>Business Insider</w:t>
      </w:r>
      <w:r w:rsidRPr="0056448B">
        <w:rPr>
          <w:rFonts w:ascii="Arial" w:hAnsi="Arial" w:cs="Arial"/>
        </w:rPr>
        <w:t>:</w:t>
      </w:r>
    </w:p>
    <w:p w14:paraId="597D7DE4" w14:textId="307A2348" w:rsidR="0056448B" w:rsidRPr="0026229E" w:rsidRDefault="0056448B" w:rsidP="0026229E">
      <w:pPr>
        <w:ind w:left="360" w:right="-36"/>
        <w:rPr>
          <w:rFonts w:ascii="Arial" w:hAnsi="Arial" w:cs="Arial"/>
          <w:i/>
          <w:iCs/>
        </w:rPr>
      </w:pPr>
      <w:r w:rsidRPr="0056448B">
        <w:rPr>
          <w:rFonts w:ascii="Arial" w:hAnsi="Arial" w:cs="Arial"/>
          <w:i/>
          <w:iCs/>
        </w:rPr>
        <w:lastRenderedPageBreak/>
        <w:t>Q: When did the founding fathers draft the Constitution?</w:t>
      </w:r>
    </w:p>
    <w:p w14:paraId="21892BF6" w14:textId="36C53BFA" w:rsidR="0056448B" w:rsidRPr="0056448B" w:rsidRDefault="0056448B" w:rsidP="0026229E">
      <w:pPr>
        <w:ind w:left="360" w:right="-36"/>
        <w:rPr>
          <w:rFonts w:ascii="Arial" w:hAnsi="Arial" w:cs="Arial"/>
        </w:rPr>
      </w:pPr>
      <w:r w:rsidRPr="0056448B">
        <w:rPr>
          <w:rFonts w:ascii="Arial" w:hAnsi="Arial" w:cs="Arial"/>
        </w:rPr>
        <w:t>A: It was a second round pick, right after LeBron James.</w:t>
      </w:r>
      <w:r w:rsidR="0026229E">
        <w:rPr>
          <w:rFonts w:ascii="Arial" w:hAnsi="Arial" w:cs="Arial"/>
        </w:rPr>
        <w:br/>
      </w:r>
    </w:p>
    <w:p w14:paraId="05BE261E" w14:textId="097E4B8D" w:rsidR="0056448B" w:rsidRPr="0026229E" w:rsidRDefault="0056448B" w:rsidP="0026229E">
      <w:pPr>
        <w:ind w:left="360" w:right="-36"/>
        <w:rPr>
          <w:rFonts w:ascii="Arial" w:hAnsi="Arial" w:cs="Arial"/>
          <w:i/>
          <w:iCs/>
        </w:rPr>
      </w:pPr>
      <w:r w:rsidRPr="0056448B">
        <w:rPr>
          <w:rFonts w:ascii="Arial" w:hAnsi="Arial" w:cs="Arial"/>
          <w:i/>
          <w:iCs/>
        </w:rPr>
        <w:t>Q: Describe what is meant by “forgetting.”</w:t>
      </w:r>
    </w:p>
    <w:p w14:paraId="3EC3B628" w14:textId="12E1210B" w:rsidR="0056448B" w:rsidRPr="0056448B" w:rsidRDefault="0056448B" w:rsidP="0026229E">
      <w:pPr>
        <w:ind w:left="360" w:right="-36"/>
        <w:rPr>
          <w:rFonts w:ascii="Arial" w:hAnsi="Arial" w:cs="Arial"/>
        </w:rPr>
      </w:pPr>
      <w:r w:rsidRPr="0056448B">
        <w:rPr>
          <w:rFonts w:ascii="Arial" w:hAnsi="Arial" w:cs="Arial"/>
        </w:rPr>
        <w:t>A: I can’t remember.</w:t>
      </w:r>
      <w:r w:rsidR="0026229E">
        <w:rPr>
          <w:rFonts w:ascii="Arial" w:hAnsi="Arial" w:cs="Arial"/>
        </w:rPr>
        <w:br/>
      </w:r>
    </w:p>
    <w:p w14:paraId="4A95BCFF" w14:textId="4D251C17" w:rsidR="0056448B" w:rsidRPr="0026229E" w:rsidRDefault="0056448B" w:rsidP="0026229E">
      <w:pPr>
        <w:ind w:left="360" w:right="-36"/>
        <w:rPr>
          <w:rFonts w:ascii="Arial" w:hAnsi="Arial" w:cs="Arial"/>
          <w:i/>
          <w:iCs/>
        </w:rPr>
      </w:pPr>
      <w:r w:rsidRPr="0056448B">
        <w:rPr>
          <w:rFonts w:ascii="Arial" w:hAnsi="Arial" w:cs="Arial"/>
          <w:i/>
          <w:iCs/>
        </w:rPr>
        <w:t>Q: What is a nitrate?</w:t>
      </w:r>
    </w:p>
    <w:p w14:paraId="70238918" w14:textId="004D18D1" w:rsidR="0056448B" w:rsidRPr="0056448B" w:rsidRDefault="0056448B" w:rsidP="0026229E">
      <w:pPr>
        <w:ind w:left="360" w:right="-36"/>
        <w:rPr>
          <w:rFonts w:ascii="Arial" w:hAnsi="Arial" w:cs="Arial"/>
        </w:rPr>
      </w:pPr>
      <w:r w:rsidRPr="0056448B">
        <w:rPr>
          <w:rFonts w:ascii="Arial" w:hAnsi="Arial" w:cs="Arial"/>
        </w:rPr>
        <w:t>A: It is much cheaper than a day rate.</w:t>
      </w:r>
      <w:r w:rsidR="0026229E">
        <w:rPr>
          <w:rFonts w:ascii="Arial" w:hAnsi="Arial" w:cs="Arial"/>
        </w:rPr>
        <w:br/>
      </w:r>
    </w:p>
    <w:p w14:paraId="635A94EE" w14:textId="23B37D37" w:rsidR="0056448B" w:rsidRPr="0026229E" w:rsidRDefault="0056448B" w:rsidP="0026229E">
      <w:pPr>
        <w:ind w:left="360" w:right="-36"/>
        <w:rPr>
          <w:rFonts w:ascii="Arial" w:hAnsi="Arial" w:cs="Arial"/>
          <w:i/>
          <w:iCs/>
        </w:rPr>
      </w:pPr>
      <w:r w:rsidRPr="0056448B">
        <w:rPr>
          <w:rFonts w:ascii="Arial" w:hAnsi="Arial" w:cs="Arial"/>
          <w:i/>
          <w:iCs/>
        </w:rPr>
        <w:t>Q: Upon ascending to the throne, the first thing Queen Elizabeth II did was to…</w:t>
      </w:r>
    </w:p>
    <w:p w14:paraId="014FEE7F" w14:textId="69DAB95A" w:rsidR="0056448B" w:rsidRPr="0056448B" w:rsidRDefault="0056448B" w:rsidP="0026229E">
      <w:pPr>
        <w:ind w:left="360" w:right="-36"/>
        <w:rPr>
          <w:rFonts w:ascii="Arial" w:hAnsi="Arial" w:cs="Arial"/>
        </w:rPr>
      </w:pPr>
      <w:r w:rsidRPr="0056448B">
        <w:rPr>
          <w:rFonts w:ascii="Arial" w:hAnsi="Arial" w:cs="Arial"/>
        </w:rPr>
        <w:t>A: Sit down.</w:t>
      </w:r>
      <w:r w:rsidR="0026229E">
        <w:rPr>
          <w:rFonts w:ascii="Arial" w:hAnsi="Arial" w:cs="Arial"/>
        </w:rPr>
        <w:br/>
      </w:r>
    </w:p>
    <w:p w14:paraId="46F69071" w14:textId="37D77F2C" w:rsidR="0056448B" w:rsidRPr="0026229E" w:rsidRDefault="0056448B" w:rsidP="0026229E">
      <w:pPr>
        <w:ind w:left="360" w:right="-36"/>
        <w:rPr>
          <w:rFonts w:ascii="Arial" w:hAnsi="Arial" w:cs="Arial"/>
          <w:i/>
          <w:iCs/>
        </w:rPr>
      </w:pPr>
      <w:r w:rsidRPr="0056448B">
        <w:rPr>
          <w:rFonts w:ascii="Arial" w:hAnsi="Arial" w:cs="Arial"/>
          <w:i/>
          <w:iCs/>
        </w:rPr>
        <w:t>Q: Where was the Declaration of Independence signed?</w:t>
      </w:r>
    </w:p>
    <w:p w14:paraId="11C866CB" w14:textId="0D867607" w:rsidR="0056448B" w:rsidRPr="0056448B" w:rsidRDefault="0056448B" w:rsidP="0026229E">
      <w:pPr>
        <w:ind w:left="360" w:right="-36"/>
        <w:rPr>
          <w:rFonts w:ascii="Arial" w:hAnsi="Arial" w:cs="Arial"/>
        </w:rPr>
      </w:pPr>
      <w:r w:rsidRPr="0056448B">
        <w:rPr>
          <w:rFonts w:ascii="Arial" w:hAnsi="Arial" w:cs="Arial"/>
        </w:rPr>
        <w:t>A: At the bottom.</w:t>
      </w:r>
      <w:r w:rsidR="0026229E">
        <w:rPr>
          <w:rFonts w:ascii="Arial" w:hAnsi="Arial" w:cs="Arial"/>
        </w:rPr>
        <w:br/>
      </w:r>
    </w:p>
    <w:p w14:paraId="67750D8B" w14:textId="04C4A22A" w:rsidR="0056448B" w:rsidRPr="0026229E" w:rsidRDefault="0056448B" w:rsidP="0026229E">
      <w:pPr>
        <w:ind w:right="-36"/>
        <w:rPr>
          <w:rFonts w:ascii="Arial" w:hAnsi="Arial" w:cs="Arial"/>
          <w:b/>
          <w:color w:val="0D304A"/>
          <w:sz w:val="28"/>
          <w:szCs w:val="28"/>
        </w:rPr>
      </w:pPr>
      <w:r w:rsidRPr="0056448B">
        <w:rPr>
          <w:rFonts w:ascii="Arial" w:hAnsi="Arial" w:cs="Arial"/>
          <w:b/>
          <w:color w:val="0D304A"/>
          <w:sz w:val="28"/>
          <w:szCs w:val="28"/>
        </w:rPr>
        <w:t xml:space="preserve">Weekly Focus – Think </w:t>
      </w:r>
      <w:r w:rsidRPr="0056448B">
        <w:rPr>
          <w:rFonts w:ascii="Arial" w:hAnsi="Arial" w:cs="Arial"/>
          <w:b/>
          <w:bCs/>
          <w:color w:val="0D304A"/>
          <w:sz w:val="28"/>
          <w:szCs w:val="28"/>
        </w:rPr>
        <w:t>About</w:t>
      </w:r>
      <w:r w:rsidRPr="0056448B">
        <w:rPr>
          <w:rFonts w:ascii="Arial" w:hAnsi="Arial" w:cs="Arial"/>
          <w:b/>
          <w:color w:val="0D304A"/>
          <w:sz w:val="28"/>
          <w:szCs w:val="28"/>
        </w:rPr>
        <w:t xml:space="preserve"> It</w:t>
      </w:r>
      <w:r w:rsidRPr="0056448B">
        <w:rPr>
          <w:rFonts w:ascii="Arial" w:hAnsi="Arial" w:cs="Arial"/>
          <w:color w:val="0D304A"/>
          <w:sz w:val="28"/>
          <w:szCs w:val="28"/>
        </w:rPr>
        <w:t xml:space="preserve"> </w:t>
      </w:r>
    </w:p>
    <w:p w14:paraId="109589F5" w14:textId="77777777" w:rsidR="0056448B" w:rsidRPr="0056448B" w:rsidRDefault="0056448B" w:rsidP="0056448B">
      <w:pPr>
        <w:widowControl w:val="0"/>
        <w:adjustRightInd w:val="0"/>
        <w:ind w:right="-36"/>
        <w:rPr>
          <w:rFonts w:ascii="Arial" w:hAnsi="Arial" w:cs="Arial"/>
        </w:rPr>
      </w:pPr>
      <w:r w:rsidRPr="0056448B">
        <w:rPr>
          <w:rFonts w:ascii="Arial" w:hAnsi="Arial" w:cs="Arial"/>
        </w:rPr>
        <w:t xml:space="preserve">“You pay a very high price for a cheery consensus. It won't be the economy that will do in investors; it will be the investors themselves. Uncertainty is actually the friend of the buyer of long-term values.” </w:t>
      </w:r>
    </w:p>
    <w:p w14:paraId="72AA46E2" w14:textId="068DEB3F" w:rsidR="0056448B" w:rsidRPr="0026229E" w:rsidRDefault="0056448B" w:rsidP="0026229E">
      <w:pPr>
        <w:widowControl w:val="0"/>
        <w:adjustRightInd w:val="0"/>
        <w:ind w:right="-36"/>
        <w:jc w:val="right"/>
        <w:rPr>
          <w:rFonts w:ascii="Arial" w:hAnsi="Arial" w:cs="Arial"/>
          <w:i/>
          <w:iCs/>
        </w:rPr>
      </w:pPr>
      <w:r w:rsidRPr="0056448B">
        <w:rPr>
          <w:rFonts w:ascii="Arial" w:hAnsi="Arial" w:cs="Arial"/>
          <w:i/>
          <w:iCs/>
        </w:rPr>
        <w:t>Warren Buffett, Investor and philanthropist</w:t>
      </w:r>
    </w:p>
    <w:p w14:paraId="03279149" w14:textId="6AA82EE0" w:rsidR="00852C1D" w:rsidRPr="0056448B" w:rsidRDefault="00852C1D" w:rsidP="0056448B">
      <w:pPr>
        <w:widowControl w:val="0"/>
        <w:adjustRightInd w:val="0"/>
        <w:ind w:right="-36"/>
        <w:rPr>
          <w:rFonts w:ascii="Arial" w:hAnsi="Arial" w:cs="Arial"/>
          <w:color w:val="000000" w:themeColor="text1"/>
        </w:rPr>
      </w:pPr>
      <w:r w:rsidRPr="0056448B">
        <w:rPr>
          <w:rFonts w:ascii="Arial" w:hAnsi="Arial" w:cs="Arial"/>
          <w:color w:val="000000" w:themeColor="text1"/>
        </w:rPr>
        <w:t>Best regards,</w:t>
      </w:r>
    </w:p>
    <w:p w14:paraId="53A61D7C" w14:textId="74C75239" w:rsidR="00852C1D" w:rsidRPr="0056448B" w:rsidRDefault="00852C1D" w:rsidP="0056448B">
      <w:pPr>
        <w:ind w:right="-36"/>
        <w:rPr>
          <w:rFonts w:ascii="Arial" w:hAnsi="Arial" w:cs="Arial"/>
          <w:color w:val="FF0000"/>
        </w:rPr>
      </w:pPr>
      <w:r w:rsidRPr="0056448B">
        <w:rPr>
          <w:rFonts w:ascii="Arial" w:hAnsi="Arial" w:cs="Arial"/>
          <w:color w:val="FF0000"/>
        </w:rPr>
        <w:t>“Your Name Here”</w:t>
      </w:r>
      <w:r w:rsidR="0026229E">
        <w:rPr>
          <w:rFonts w:ascii="Arial" w:hAnsi="Arial" w:cs="Arial"/>
          <w:color w:val="FF0000"/>
        </w:rPr>
        <w:br/>
      </w:r>
    </w:p>
    <w:p w14:paraId="1319F8C5" w14:textId="27CADFF3" w:rsidR="00852C1D" w:rsidRPr="0056448B" w:rsidRDefault="00852C1D" w:rsidP="0056448B">
      <w:pPr>
        <w:ind w:right="-36"/>
        <w:rPr>
          <w:rFonts w:ascii="Arial" w:hAnsi="Arial" w:cs="Arial"/>
        </w:rPr>
      </w:pPr>
      <w:r w:rsidRPr="0056448B">
        <w:rPr>
          <w:rFonts w:ascii="Arial" w:hAnsi="Arial" w:cs="Arial"/>
        </w:rPr>
        <w:t>P.S.  Please feel free to forward this commentary to family, friends, or colleagues. If you would like us to add them to the list, please reply to this email with their email address and we will ask for their permission to be added.</w:t>
      </w:r>
      <w:r w:rsidR="0026229E">
        <w:rPr>
          <w:rFonts w:ascii="Arial" w:hAnsi="Arial" w:cs="Arial"/>
        </w:rPr>
        <w:br/>
      </w:r>
    </w:p>
    <w:p w14:paraId="7336EF11" w14:textId="111B66A9" w:rsidR="00852C1D" w:rsidRPr="0056448B" w:rsidRDefault="00852C1D" w:rsidP="0056448B">
      <w:pPr>
        <w:ind w:right="-36"/>
        <w:rPr>
          <w:rFonts w:ascii="Arial" w:hAnsi="Arial" w:cs="Arial"/>
          <w:color w:val="FF0000"/>
          <w:sz w:val="18"/>
          <w:szCs w:val="18"/>
        </w:rPr>
      </w:pPr>
      <w:r w:rsidRPr="0056448B">
        <w:rPr>
          <w:rFonts w:ascii="Arial" w:hAnsi="Arial" w:cs="Arial"/>
          <w:color w:val="FF0000"/>
          <w:sz w:val="18"/>
          <w:szCs w:val="18"/>
        </w:rPr>
        <w:t xml:space="preserve">Securities </w:t>
      </w:r>
      <w:r w:rsidR="00BE7D4E" w:rsidRPr="0056448B">
        <w:rPr>
          <w:rFonts w:ascii="Arial" w:hAnsi="Arial" w:cs="Arial"/>
          <w:color w:val="FF0000"/>
          <w:sz w:val="18"/>
          <w:szCs w:val="18"/>
        </w:rPr>
        <w:t xml:space="preserve">and advisory services </w:t>
      </w:r>
      <w:r w:rsidRPr="0056448B">
        <w:rPr>
          <w:rFonts w:ascii="Arial" w:hAnsi="Arial" w:cs="Arial"/>
          <w:color w:val="FF0000"/>
          <w:sz w:val="18"/>
          <w:szCs w:val="18"/>
        </w:rPr>
        <w:t>offered through “Your B/D or RIA Name Here”, Member FINRA/SIPC.</w:t>
      </w:r>
    </w:p>
    <w:p w14:paraId="1D7E6141"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These views are those of Carson Coaching, and not the presenting Representative, the Representative’s Broker/Dealer, or Registered Investment Advisor, and should not be construed as investment advice.</w:t>
      </w:r>
    </w:p>
    <w:p w14:paraId="1465BAAE"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This newsletter was prepared by Carson Coaching. Carson Coaching is not affiliated with the named firm or broker/dealer.</w:t>
      </w:r>
    </w:p>
    <w:p w14:paraId="1DB7644E"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Government bonds and Treasury Bills are guaranteed by the U.S. government as to the timely payment of principal and interest and, if held to maturity, offer a fixed rate of return and fixed principal value.  However, the value of fund shares is not guaranteed and will fluctuate.</w:t>
      </w:r>
    </w:p>
    <w:p w14:paraId="1F8FB591"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Corporate bonds are considered higher risk than government bonds but normally offer a higher yield and are subject to market, interest rate and credit risk as well as additional risks based on the quality of issuer coupon rate, price, yield, maturity, and redemption features.</w:t>
      </w:r>
    </w:p>
    <w:p w14:paraId="67353C1D"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lastRenderedPageBreak/>
        <w:t>* The Standard &amp; Poor's 500 (S&amp;P 500) is an unmanaged group of securities considered to be representative of the stock market in general. You cannot invest directly in this index.</w:t>
      </w:r>
    </w:p>
    <w:p w14:paraId="00500678"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All indexes referenced are unmanaged. The volatility of indexes could be materially different from that of a client’s portfolio. Unmanaged index returns do not reflect fees, expenses, or sales charges. Index performance is not indicative of the performance of any investment. You cannot invest directly in an index.</w:t>
      </w:r>
    </w:p>
    <w:p w14:paraId="1914EC95"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 Dow Jones Global ex-U.S. Index covers approximately 95% of the market capitalization of the 45 developed and emerging countries included in the Index.</w:t>
      </w:r>
    </w:p>
    <w:p w14:paraId="52C4D271"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 10-year Treasury Note represents debt owed by the United States Treasury to the public. Since the U.S. Government is seen as a risk-free borrower, investors use the 10-year Treasury Note as a benchmark for the long-term bond market.</w:t>
      </w:r>
    </w:p>
    <w:p w14:paraId="63CA17BD"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Gold represents the afternoon gold price as reported by the London Bullion Market Association. The gold price is set twice daily by the London Gold Fixing Company at 10:30 and 15:00 and is expressed in U.S. dollars per fine troy ounce.</w:t>
      </w:r>
    </w:p>
    <w:p w14:paraId="5AFDA625"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 Bloomberg Commodity Index is designed to be a highly liquid and diversified benchmark for the commodity futures market. The Index is composed of futures contracts on 19 physical commodities and was launched on July 14, 1998.</w:t>
      </w:r>
    </w:p>
    <w:p w14:paraId="4FDBB647"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 DJ Equity All REIT Total Return Index measures the total return performance of the equity subcategory of the Real Estate Investment Trust (REIT) industry as calculated by Dow Jones.</w:t>
      </w:r>
    </w:p>
    <w:p w14:paraId="3AEC9DA8"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 Dow Jones Industrial Average (DJIA), commonly known as “The Dow,” is an index representing 30 stock of companies maintained and reviewed by the editors of The Wall Street Journal.</w:t>
      </w:r>
    </w:p>
    <w:p w14:paraId="22690409"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 NASDAQ Composite is an unmanaged index of securities traded on the NASDAQ system.</w:t>
      </w:r>
    </w:p>
    <w:p w14:paraId="31CC841E"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International investing involves special risks such as currency fluctuation and political instability and may not be suitable for all investors. These risks are often heightened for investments in emerging markets.</w:t>
      </w:r>
    </w:p>
    <w:p w14:paraId="0DF54B3E"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Yahoo! Finance is the source for any reference to the performance of an index between two specific periods.</w:t>
      </w:r>
    </w:p>
    <w:p w14:paraId="165442EC" w14:textId="77777777" w:rsidR="00852C1D" w:rsidRPr="0056448B" w:rsidRDefault="00852C1D" w:rsidP="0056448B">
      <w:pPr>
        <w:adjustRightInd w:val="0"/>
        <w:rPr>
          <w:rFonts w:ascii="Arial" w:hAnsi="Arial" w:cs="Arial"/>
          <w:sz w:val="18"/>
          <w:szCs w:val="18"/>
        </w:rPr>
      </w:pPr>
      <w:r w:rsidRPr="0056448B">
        <w:rPr>
          <w:rFonts w:ascii="Arial" w:hAnsi="Arial" w:cs="Arial"/>
          <w:sz w:val="18"/>
          <w:szCs w:val="18"/>
        </w:rPr>
        <w:t>* The risk of loss in trading commodities and futures can be substantial. You should therefore carefully consider whether such trading is suitable for you in light of your financial condition. The high degree of leverage is often obtainable in commodity trading and can work against you as well as for you.  The use of leverage can lead to large losses as well as gains.</w:t>
      </w:r>
    </w:p>
    <w:p w14:paraId="39981075"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Opinions expressed are subject to change without notice and are not intended as investment advice or to predict future performance.</w:t>
      </w:r>
    </w:p>
    <w:p w14:paraId="19BC1F3D"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Economic forecasts set forth may not develop as predicted and there can be no guarantee that strategies promoted will be successful.</w:t>
      </w:r>
    </w:p>
    <w:p w14:paraId="61072C9E" w14:textId="77777777" w:rsidR="00852C1D" w:rsidRPr="0056448B" w:rsidRDefault="00852C1D" w:rsidP="0056448B">
      <w:pPr>
        <w:ind w:right="-36"/>
        <w:rPr>
          <w:rFonts w:ascii="Arial" w:hAnsi="Arial" w:cs="Arial"/>
          <w:color w:val="FFFFFF"/>
          <w:sz w:val="18"/>
          <w:szCs w:val="18"/>
        </w:rPr>
      </w:pPr>
      <w:r w:rsidRPr="0056448B">
        <w:rPr>
          <w:rFonts w:ascii="Arial" w:hAnsi="Arial" w:cs="Arial"/>
          <w:sz w:val="18"/>
          <w:szCs w:val="18"/>
        </w:rPr>
        <w:t>* Past performance does not guarantee future results. Investing involves risk, including loss of principal.</w:t>
      </w:r>
    </w:p>
    <w:p w14:paraId="6B4791D9" w14:textId="77777777" w:rsidR="00852C1D" w:rsidRPr="0056448B" w:rsidRDefault="00852C1D" w:rsidP="0056448B">
      <w:pPr>
        <w:ind w:right="-36"/>
        <w:rPr>
          <w:rFonts w:ascii="Arial" w:hAnsi="Arial" w:cs="Arial"/>
          <w:color w:val="000000"/>
          <w:sz w:val="18"/>
          <w:szCs w:val="18"/>
        </w:rPr>
      </w:pPr>
      <w:r w:rsidRPr="0056448B">
        <w:rPr>
          <w:rFonts w:ascii="Arial" w:hAnsi="Arial" w:cs="Arial"/>
          <w:color w:val="000000"/>
          <w:sz w:val="18"/>
          <w:szCs w:val="18"/>
        </w:rPr>
        <w:t xml:space="preserve">* </w:t>
      </w:r>
      <w:r w:rsidRPr="0056448B">
        <w:rPr>
          <w:rFonts w:ascii="Arial" w:hAnsi="Arial" w:cs="Arial"/>
          <w:color w:val="000000"/>
          <w:sz w:val="18"/>
          <w:szCs w:val="18"/>
          <w:shd w:val="clear" w:color="auto" w:fill="FFFFFF"/>
        </w:rPr>
        <w:t>The foregoing information has been obtained from sources considered to be reliable, but we do not guarantee it is accurate or complete.</w:t>
      </w:r>
    </w:p>
    <w:p w14:paraId="33B3139D"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There is no guarantee a diversified portfolio will enhance overall returns or outperform a non-diversified portfolio. Diversification does not protect against market risk.</w:t>
      </w:r>
    </w:p>
    <w:p w14:paraId="78044985"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Asset allocation does not ensure a profit or protect against a loss.</w:t>
      </w:r>
    </w:p>
    <w:p w14:paraId="57856B33"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Consult your financial professional before making any investment decision.</w:t>
      </w:r>
    </w:p>
    <w:p w14:paraId="346E7558" w14:textId="77777777" w:rsidR="00852C1D" w:rsidRPr="0056448B" w:rsidRDefault="00852C1D" w:rsidP="0056448B">
      <w:pPr>
        <w:ind w:right="-36"/>
        <w:rPr>
          <w:rFonts w:ascii="Arial" w:hAnsi="Arial" w:cs="Arial"/>
          <w:sz w:val="18"/>
          <w:szCs w:val="18"/>
        </w:rPr>
      </w:pPr>
      <w:r w:rsidRPr="0056448B">
        <w:rPr>
          <w:rFonts w:ascii="Arial" w:hAnsi="Arial" w:cs="Arial"/>
          <w:sz w:val="18"/>
          <w:szCs w:val="18"/>
        </w:rPr>
        <w:t xml:space="preserve">* To unsubscribe from the </w:t>
      </w:r>
      <w:r w:rsidRPr="0056448B">
        <w:rPr>
          <w:rFonts w:ascii="Arial" w:hAnsi="Arial" w:cs="Arial"/>
          <w:color w:val="FF0000"/>
          <w:sz w:val="18"/>
          <w:szCs w:val="18"/>
        </w:rPr>
        <w:t>“Enter the name of your commentary”</w:t>
      </w:r>
      <w:r w:rsidRPr="0056448B">
        <w:rPr>
          <w:rFonts w:ascii="Arial" w:hAnsi="Arial" w:cs="Arial"/>
          <w:sz w:val="18"/>
          <w:szCs w:val="18"/>
        </w:rPr>
        <w:t xml:space="preserve"> please </w:t>
      </w:r>
      <w:r w:rsidRPr="0056448B">
        <w:rPr>
          <w:rFonts w:ascii="Arial" w:hAnsi="Arial" w:cs="Arial"/>
          <w:color w:val="0000FF"/>
          <w:sz w:val="18"/>
          <w:szCs w:val="18"/>
          <w:u w:val="single"/>
        </w:rPr>
        <w:t>click here</w:t>
      </w:r>
      <w:r w:rsidRPr="0056448B">
        <w:rPr>
          <w:rFonts w:ascii="Arial" w:hAnsi="Arial" w:cs="Arial"/>
          <w:sz w:val="18"/>
          <w:szCs w:val="18"/>
        </w:rPr>
        <w:t xml:space="preserve"> or write us at </w:t>
      </w:r>
      <w:r w:rsidRPr="0056448B">
        <w:rPr>
          <w:rFonts w:ascii="Arial" w:hAnsi="Arial" w:cs="Arial"/>
          <w:color w:val="FF0000"/>
          <w:sz w:val="18"/>
          <w:szCs w:val="18"/>
        </w:rPr>
        <w:t>“Your Address Here”</w:t>
      </w:r>
      <w:r w:rsidRPr="0056448B">
        <w:rPr>
          <w:rFonts w:ascii="Arial" w:hAnsi="Arial" w:cs="Arial"/>
          <w:sz w:val="18"/>
          <w:szCs w:val="18"/>
        </w:rPr>
        <w:t>.</w:t>
      </w:r>
    </w:p>
    <w:p w14:paraId="38FD8E9B" w14:textId="2E6BE491" w:rsidR="00241AF2" w:rsidRPr="0056448B" w:rsidRDefault="00852C1D" w:rsidP="0056448B">
      <w:pPr>
        <w:ind w:right="-36"/>
        <w:rPr>
          <w:rFonts w:ascii="Arial" w:hAnsi="Arial" w:cs="Arial"/>
          <w:sz w:val="18"/>
          <w:szCs w:val="18"/>
        </w:rPr>
      </w:pPr>
      <w:r w:rsidRPr="0056448B">
        <w:rPr>
          <w:rFonts w:ascii="Arial" w:hAnsi="Arial" w:cs="Arial"/>
          <w:sz w:val="18"/>
          <w:szCs w:val="18"/>
        </w:rPr>
        <w:t xml:space="preserve">* To unsubscribe from the </w:t>
      </w:r>
      <w:r w:rsidRPr="0056448B">
        <w:rPr>
          <w:rFonts w:ascii="Arial" w:hAnsi="Arial" w:cs="Arial"/>
          <w:color w:val="FF0000"/>
          <w:sz w:val="18"/>
          <w:szCs w:val="18"/>
        </w:rPr>
        <w:t>“Enter the name of your commentary”</w:t>
      </w:r>
      <w:r w:rsidRPr="0056448B">
        <w:rPr>
          <w:rFonts w:ascii="Arial" w:hAnsi="Arial" w:cs="Arial"/>
          <w:sz w:val="18"/>
          <w:szCs w:val="18"/>
        </w:rPr>
        <w:t xml:space="preserve"> please reply to this email with “Unsubscribe” in the subject line or write us at </w:t>
      </w:r>
      <w:r w:rsidRPr="0056448B">
        <w:rPr>
          <w:rFonts w:ascii="Arial" w:hAnsi="Arial" w:cs="Arial"/>
          <w:color w:val="FF0000"/>
          <w:sz w:val="18"/>
          <w:szCs w:val="18"/>
        </w:rPr>
        <w:t>“Your Address Here”</w:t>
      </w:r>
      <w:r w:rsidRPr="0056448B">
        <w:rPr>
          <w:rFonts w:ascii="Arial" w:hAnsi="Arial" w:cs="Arial"/>
          <w:sz w:val="18"/>
          <w:szCs w:val="18"/>
        </w:rPr>
        <w:t>.</w:t>
      </w:r>
      <w:r w:rsidR="0026229E">
        <w:rPr>
          <w:rFonts w:ascii="Arial" w:hAnsi="Arial" w:cs="Arial"/>
          <w:sz w:val="18"/>
          <w:szCs w:val="18"/>
        </w:rPr>
        <w:br/>
      </w:r>
    </w:p>
    <w:p w14:paraId="5D5B94E0" w14:textId="77777777" w:rsidR="0056448B" w:rsidRPr="0056448B" w:rsidRDefault="0056448B" w:rsidP="0056448B">
      <w:pPr>
        <w:widowControl w:val="0"/>
        <w:adjustRightInd w:val="0"/>
        <w:ind w:right="-36"/>
        <w:rPr>
          <w:rFonts w:ascii="Arial" w:hAnsi="Arial" w:cs="Arial"/>
          <w:sz w:val="18"/>
          <w:szCs w:val="18"/>
        </w:rPr>
      </w:pPr>
      <w:r w:rsidRPr="0056448B">
        <w:rPr>
          <w:rFonts w:ascii="Arial" w:hAnsi="Arial" w:cs="Arial"/>
          <w:sz w:val="18"/>
          <w:szCs w:val="18"/>
        </w:rPr>
        <w:t>Sources:</w:t>
      </w:r>
    </w:p>
    <w:p w14:paraId="1D6B4C5D" w14:textId="77777777" w:rsidR="0056448B" w:rsidRPr="0056448B" w:rsidRDefault="0056448B" w:rsidP="0056448B">
      <w:pPr>
        <w:widowControl w:val="0"/>
        <w:adjustRightInd w:val="0"/>
        <w:ind w:right="-36"/>
        <w:rPr>
          <w:rFonts w:ascii="Arial" w:hAnsi="Arial" w:cs="Arial"/>
          <w:color w:val="000000" w:themeColor="text1"/>
          <w:sz w:val="18"/>
          <w:szCs w:val="18"/>
        </w:rPr>
      </w:pPr>
      <w:hyperlink r:id="rId8" w:history="1">
        <w:r w:rsidRPr="0056448B">
          <w:rPr>
            <w:rStyle w:val="Hyperlink"/>
            <w:rFonts w:ascii="Arial" w:hAnsi="Arial" w:cs="Arial"/>
            <w:sz w:val="18"/>
            <w:szCs w:val="18"/>
          </w:rPr>
          <w:t>https://www.barrons.com/articles/stocks-end-week-higher-after-president-donald-trump-tests-positive-for-covid-19-51601686754?refsec=the-trader</w:t>
        </w:r>
      </w:hyperlink>
      <w:r w:rsidRPr="0056448B">
        <w:rPr>
          <w:rFonts w:ascii="Arial" w:hAnsi="Arial" w:cs="Arial"/>
          <w:sz w:val="18"/>
          <w:szCs w:val="18"/>
        </w:rPr>
        <w:t xml:space="preserve"> </w:t>
      </w:r>
      <w:r w:rsidRPr="0056448B">
        <w:rPr>
          <w:rFonts w:ascii="Arial" w:hAnsi="Arial" w:cs="Arial"/>
          <w:color w:val="000000" w:themeColor="text1"/>
          <w:sz w:val="18"/>
          <w:szCs w:val="18"/>
        </w:rPr>
        <w:t>(</w:t>
      </w:r>
      <w:r w:rsidRPr="0056448B">
        <w:rPr>
          <w:rFonts w:ascii="Arial" w:hAnsi="Arial" w:cs="Arial"/>
          <w:i/>
          <w:iCs/>
          <w:color w:val="000000" w:themeColor="text1"/>
          <w:sz w:val="18"/>
          <w:szCs w:val="18"/>
        </w:rPr>
        <w:t>or go to</w:t>
      </w:r>
      <w:r w:rsidRPr="0056448B">
        <w:rPr>
          <w:rFonts w:ascii="Arial" w:hAnsi="Arial" w:cs="Arial"/>
          <w:color w:val="000000" w:themeColor="text1"/>
          <w:sz w:val="18"/>
          <w:szCs w:val="18"/>
        </w:rPr>
        <w:t xml:space="preserve"> </w:t>
      </w:r>
      <w:hyperlink r:id="rId9" w:history="1">
        <w:r w:rsidRPr="0056448B">
          <w:rPr>
            <w:rStyle w:val="Hyperlink"/>
            <w:rFonts w:ascii="Arial" w:hAnsi="Arial" w:cs="Arial"/>
            <w:sz w:val="18"/>
            <w:szCs w:val="18"/>
          </w:rPr>
          <w:t>https://peakcontent.s3-us-west-2.amazonaws.com/+Peak+Commentary/10-05-20_Barrons-Trumps_Positive_COVID_Test_Added_a_New_Wrinkle_for_the_Stock_Market-Footnote_1.pdf</w:t>
        </w:r>
      </w:hyperlink>
      <w:r w:rsidRPr="0056448B">
        <w:rPr>
          <w:rFonts w:ascii="Arial" w:hAnsi="Arial" w:cs="Arial"/>
          <w:color w:val="000000" w:themeColor="text1"/>
          <w:sz w:val="18"/>
          <w:szCs w:val="18"/>
        </w:rPr>
        <w:t>)</w:t>
      </w:r>
    </w:p>
    <w:p w14:paraId="385D5058" w14:textId="77777777" w:rsidR="0056448B" w:rsidRPr="0056448B" w:rsidRDefault="0056448B" w:rsidP="0056448B">
      <w:pPr>
        <w:widowControl w:val="0"/>
        <w:adjustRightInd w:val="0"/>
        <w:ind w:right="-36"/>
        <w:rPr>
          <w:rStyle w:val="Hyperlink"/>
          <w:rFonts w:ascii="Arial" w:hAnsi="Arial" w:cs="Arial"/>
          <w:color w:val="000000" w:themeColor="text1"/>
          <w:sz w:val="18"/>
          <w:szCs w:val="18"/>
        </w:rPr>
      </w:pPr>
      <w:hyperlink r:id="rId10" w:history="1">
        <w:r w:rsidRPr="0056448B">
          <w:rPr>
            <w:rStyle w:val="Hyperlink"/>
            <w:rFonts w:ascii="Arial" w:hAnsi="Arial" w:cs="Arial"/>
            <w:sz w:val="18"/>
            <w:szCs w:val="18"/>
          </w:rPr>
          <w:t>https://www.barrons.com/market-data/stocks?mod=md_subnav</w:t>
        </w:r>
      </w:hyperlink>
      <w:r w:rsidRPr="0056448B">
        <w:rPr>
          <w:rStyle w:val="Hyperlink"/>
          <w:rFonts w:ascii="Arial" w:hAnsi="Arial" w:cs="Arial"/>
          <w:sz w:val="18"/>
          <w:szCs w:val="18"/>
        </w:rPr>
        <w:t xml:space="preserve"> </w:t>
      </w:r>
      <w:r w:rsidRPr="0056448B">
        <w:rPr>
          <w:rStyle w:val="Hyperlink"/>
          <w:rFonts w:ascii="Arial" w:hAnsi="Arial" w:cs="Arial"/>
          <w:color w:val="000000" w:themeColor="text1"/>
          <w:sz w:val="18"/>
          <w:szCs w:val="18"/>
        </w:rPr>
        <w:t>(</w:t>
      </w:r>
      <w:r w:rsidRPr="0056448B">
        <w:rPr>
          <w:rStyle w:val="Hyperlink"/>
          <w:rFonts w:ascii="Arial" w:hAnsi="Arial" w:cs="Arial"/>
          <w:i/>
          <w:iCs/>
          <w:color w:val="000000" w:themeColor="text1"/>
          <w:sz w:val="18"/>
          <w:szCs w:val="18"/>
        </w:rPr>
        <w:t>or go to</w:t>
      </w:r>
      <w:r w:rsidRPr="0056448B">
        <w:rPr>
          <w:rStyle w:val="Hyperlink"/>
          <w:rFonts w:ascii="Arial" w:hAnsi="Arial" w:cs="Arial"/>
          <w:color w:val="000000" w:themeColor="text1"/>
          <w:sz w:val="18"/>
          <w:szCs w:val="18"/>
        </w:rPr>
        <w:t xml:space="preserve"> </w:t>
      </w:r>
      <w:hyperlink r:id="rId11" w:history="1">
        <w:r w:rsidRPr="0056448B">
          <w:rPr>
            <w:rStyle w:val="Hyperlink"/>
            <w:rFonts w:ascii="Arial" w:hAnsi="Arial" w:cs="Arial"/>
            <w:sz w:val="18"/>
            <w:szCs w:val="18"/>
          </w:rPr>
          <w:t>https://peakcontent.s3-us-west-2.amazonaws.com/+Peak+Commentary/10-05-20_Barrons-Market_Data-Footnote_2.pdf</w:t>
        </w:r>
      </w:hyperlink>
      <w:r w:rsidRPr="0056448B">
        <w:rPr>
          <w:rStyle w:val="Hyperlink"/>
          <w:rFonts w:ascii="Arial" w:hAnsi="Arial" w:cs="Arial"/>
          <w:color w:val="000000" w:themeColor="text1"/>
          <w:sz w:val="18"/>
          <w:szCs w:val="18"/>
        </w:rPr>
        <w:t>)</w:t>
      </w:r>
    </w:p>
    <w:p w14:paraId="6EE02186" w14:textId="77777777" w:rsidR="0056448B" w:rsidRPr="0056448B" w:rsidRDefault="0056448B" w:rsidP="0056448B">
      <w:pPr>
        <w:widowControl w:val="0"/>
        <w:adjustRightInd w:val="0"/>
        <w:ind w:right="-36"/>
        <w:rPr>
          <w:rFonts w:ascii="Arial" w:hAnsi="Arial" w:cs="Arial"/>
          <w:sz w:val="18"/>
          <w:szCs w:val="18"/>
        </w:rPr>
      </w:pPr>
      <w:hyperlink r:id="rId12" w:anchor="0" w:history="1">
        <w:r w:rsidRPr="0056448B">
          <w:rPr>
            <w:rStyle w:val="Hyperlink"/>
            <w:rFonts w:ascii="Arial" w:hAnsi="Arial" w:cs="Arial"/>
            <w:sz w:val="18"/>
            <w:szCs w:val="18"/>
          </w:rPr>
          <w:t>https://fred.stlouisfed.org/series/SP500#0</w:t>
        </w:r>
      </w:hyperlink>
    </w:p>
    <w:p w14:paraId="2772FE8D" w14:textId="77777777" w:rsidR="0056448B" w:rsidRPr="0056448B" w:rsidRDefault="0056448B" w:rsidP="0056448B">
      <w:pPr>
        <w:widowControl w:val="0"/>
        <w:adjustRightInd w:val="0"/>
        <w:ind w:right="-36"/>
        <w:rPr>
          <w:rStyle w:val="Hyperlink"/>
          <w:rFonts w:ascii="Arial" w:hAnsi="Arial" w:cs="Arial"/>
          <w:color w:val="000000" w:themeColor="text1"/>
          <w:sz w:val="18"/>
          <w:szCs w:val="18"/>
        </w:rPr>
      </w:pPr>
      <w:hyperlink r:id="rId13" w:history="1">
        <w:r w:rsidRPr="0056448B">
          <w:rPr>
            <w:rStyle w:val="Hyperlink"/>
            <w:rFonts w:ascii="Arial" w:hAnsi="Arial" w:cs="Arial"/>
            <w:sz w:val="18"/>
            <w:szCs w:val="18"/>
          </w:rPr>
          <w:t>https://www.barrons.com/articles/the-stock-markets-august-gains-turned-to-september-pain-what-happens-next-51599266176</w:t>
        </w:r>
      </w:hyperlink>
      <w:r w:rsidRPr="0056448B">
        <w:rPr>
          <w:rStyle w:val="Hyperlink"/>
          <w:rFonts w:ascii="Arial" w:hAnsi="Arial" w:cs="Arial"/>
          <w:sz w:val="18"/>
          <w:szCs w:val="18"/>
        </w:rPr>
        <w:t xml:space="preserve"> </w:t>
      </w:r>
      <w:r w:rsidRPr="0056448B">
        <w:rPr>
          <w:rStyle w:val="Hyperlink"/>
          <w:rFonts w:ascii="Arial" w:hAnsi="Arial" w:cs="Arial"/>
          <w:color w:val="000000" w:themeColor="text1"/>
          <w:sz w:val="18"/>
          <w:szCs w:val="18"/>
        </w:rPr>
        <w:t>(</w:t>
      </w:r>
      <w:r w:rsidRPr="0056448B">
        <w:rPr>
          <w:rStyle w:val="Hyperlink"/>
          <w:rFonts w:ascii="Arial" w:hAnsi="Arial" w:cs="Arial"/>
          <w:i/>
          <w:iCs/>
          <w:color w:val="000000" w:themeColor="text1"/>
          <w:sz w:val="18"/>
          <w:szCs w:val="18"/>
        </w:rPr>
        <w:t>or go to</w:t>
      </w:r>
      <w:r w:rsidRPr="0056448B">
        <w:rPr>
          <w:rStyle w:val="Hyperlink"/>
          <w:rFonts w:ascii="Arial" w:hAnsi="Arial" w:cs="Arial"/>
          <w:color w:val="000000" w:themeColor="text1"/>
          <w:sz w:val="18"/>
          <w:szCs w:val="18"/>
        </w:rPr>
        <w:t xml:space="preserve"> </w:t>
      </w:r>
      <w:hyperlink r:id="rId14" w:history="1">
        <w:r w:rsidRPr="0056448B">
          <w:rPr>
            <w:rStyle w:val="Hyperlink"/>
            <w:rFonts w:ascii="Arial" w:hAnsi="Arial" w:cs="Arial"/>
            <w:sz w:val="18"/>
            <w:szCs w:val="18"/>
          </w:rPr>
          <w:t>https://peakcontent.s3-us-west-2.amazonaws.com/+Peak+Commentary/10-05-20_Barrons-Tech_Stocks_Finally_Got_Crushed-Footnote_4.pdf</w:t>
        </w:r>
      </w:hyperlink>
      <w:r w:rsidRPr="0056448B">
        <w:rPr>
          <w:rStyle w:val="Hyperlink"/>
          <w:rFonts w:ascii="Arial" w:hAnsi="Arial" w:cs="Arial"/>
          <w:color w:val="000000" w:themeColor="text1"/>
          <w:sz w:val="18"/>
          <w:szCs w:val="18"/>
        </w:rPr>
        <w:t>)</w:t>
      </w:r>
    </w:p>
    <w:p w14:paraId="019C3E38" w14:textId="77777777" w:rsidR="0056448B" w:rsidRPr="0056448B" w:rsidRDefault="0056448B" w:rsidP="0056448B">
      <w:pPr>
        <w:widowControl w:val="0"/>
        <w:adjustRightInd w:val="0"/>
        <w:ind w:right="-36"/>
        <w:rPr>
          <w:rFonts w:ascii="Arial" w:hAnsi="Arial" w:cs="Arial"/>
          <w:sz w:val="18"/>
          <w:szCs w:val="18"/>
        </w:rPr>
      </w:pPr>
      <w:hyperlink r:id="rId15" w:history="1">
        <w:r w:rsidRPr="0056448B">
          <w:rPr>
            <w:rStyle w:val="Hyperlink"/>
            <w:rFonts w:ascii="Arial" w:hAnsi="Arial" w:cs="Arial"/>
            <w:sz w:val="18"/>
            <w:szCs w:val="18"/>
          </w:rPr>
          <w:t>https://www.federalreserve.gov/newsevents/pressreleases/monetary20200916a.htm</w:t>
        </w:r>
      </w:hyperlink>
    </w:p>
    <w:p w14:paraId="620B9966" w14:textId="77777777" w:rsidR="0056448B" w:rsidRPr="0056448B" w:rsidRDefault="0056448B" w:rsidP="0056448B">
      <w:pPr>
        <w:widowControl w:val="0"/>
        <w:adjustRightInd w:val="0"/>
        <w:ind w:right="-36"/>
        <w:rPr>
          <w:rFonts w:ascii="Arial" w:hAnsi="Arial" w:cs="Arial"/>
          <w:sz w:val="18"/>
          <w:szCs w:val="18"/>
        </w:rPr>
      </w:pPr>
      <w:hyperlink r:id="rId16" w:history="1">
        <w:r w:rsidRPr="0056448B">
          <w:rPr>
            <w:rStyle w:val="Hyperlink"/>
            <w:rFonts w:ascii="Arial" w:hAnsi="Arial" w:cs="Arial"/>
            <w:sz w:val="18"/>
            <w:szCs w:val="18"/>
          </w:rPr>
          <w:t>https://finance.yahoo.com/quote/%5ETNX/history?p=%5ETNX</w:t>
        </w:r>
      </w:hyperlink>
    </w:p>
    <w:p w14:paraId="7208BA97" w14:textId="77777777" w:rsidR="0056448B" w:rsidRPr="0056448B" w:rsidRDefault="0056448B" w:rsidP="0056448B">
      <w:pPr>
        <w:widowControl w:val="0"/>
        <w:adjustRightInd w:val="0"/>
        <w:ind w:right="-36"/>
        <w:rPr>
          <w:rFonts w:ascii="Arial" w:hAnsi="Arial" w:cs="Arial"/>
          <w:sz w:val="18"/>
          <w:szCs w:val="18"/>
        </w:rPr>
      </w:pPr>
      <w:hyperlink r:id="rId17" w:history="1">
        <w:r w:rsidRPr="0056448B">
          <w:rPr>
            <w:rStyle w:val="Hyperlink"/>
            <w:rFonts w:ascii="Arial" w:hAnsi="Arial" w:cs="Arial"/>
            <w:sz w:val="18"/>
            <w:szCs w:val="18"/>
          </w:rPr>
          <w:t>https://www.treasury.gov/resource-center/data-chart-center/interest-rates/pages/TextView.aspx?data=yieldYear&amp;year=2020</w:t>
        </w:r>
      </w:hyperlink>
    </w:p>
    <w:p w14:paraId="53EB24AC" w14:textId="77777777" w:rsidR="0056448B" w:rsidRPr="0056448B" w:rsidRDefault="0056448B" w:rsidP="0056448B">
      <w:pPr>
        <w:widowControl w:val="0"/>
        <w:adjustRightInd w:val="0"/>
        <w:ind w:right="-36"/>
        <w:rPr>
          <w:rFonts w:ascii="Arial" w:hAnsi="Arial" w:cs="Arial"/>
          <w:sz w:val="18"/>
          <w:szCs w:val="18"/>
        </w:rPr>
      </w:pPr>
      <w:hyperlink r:id="rId18" w:history="1">
        <w:r w:rsidRPr="0056448B">
          <w:rPr>
            <w:rStyle w:val="Hyperlink"/>
            <w:rFonts w:ascii="Arial" w:hAnsi="Arial" w:cs="Arial"/>
            <w:sz w:val="18"/>
            <w:szCs w:val="18"/>
          </w:rPr>
          <w:t>https://www.kiplinger.com/investing/stocks/601490/stock-market-today-100120-stimulus-talks-keep-stringing-stocks-along</w:t>
        </w:r>
      </w:hyperlink>
      <w:r w:rsidRPr="0056448B">
        <w:rPr>
          <w:rFonts w:ascii="Arial" w:hAnsi="Arial" w:cs="Arial"/>
          <w:sz w:val="18"/>
          <w:szCs w:val="18"/>
        </w:rPr>
        <w:t xml:space="preserve"> </w:t>
      </w:r>
    </w:p>
    <w:p w14:paraId="7EEAB106" w14:textId="77777777" w:rsidR="0056448B" w:rsidRPr="0056448B" w:rsidRDefault="0056448B" w:rsidP="0056448B">
      <w:pPr>
        <w:widowControl w:val="0"/>
        <w:adjustRightInd w:val="0"/>
        <w:ind w:right="-36"/>
        <w:rPr>
          <w:rFonts w:ascii="Arial" w:hAnsi="Arial" w:cs="Arial"/>
          <w:sz w:val="18"/>
          <w:szCs w:val="18"/>
        </w:rPr>
      </w:pPr>
      <w:hyperlink r:id="rId19" w:history="1">
        <w:r w:rsidRPr="0056448B">
          <w:rPr>
            <w:rStyle w:val="Hyperlink"/>
            <w:rFonts w:ascii="Arial" w:hAnsi="Arial" w:cs="Arial"/>
            <w:sz w:val="18"/>
            <w:szCs w:val="18"/>
          </w:rPr>
          <w:t>https://www.marketwatch.com/story/another-coronavirus-aid-package-is-probably-not-happening-after-august-jobs-report-and-deal-to-avoid-government-shutdown-analyst-says-2020-09-04</w:t>
        </w:r>
      </w:hyperlink>
    </w:p>
    <w:p w14:paraId="0C962B85" w14:textId="77777777" w:rsidR="0056448B" w:rsidRPr="0056448B" w:rsidRDefault="0056448B" w:rsidP="0056448B">
      <w:pPr>
        <w:widowControl w:val="0"/>
        <w:adjustRightInd w:val="0"/>
        <w:ind w:right="-36"/>
        <w:rPr>
          <w:rFonts w:ascii="Arial" w:hAnsi="Arial" w:cs="Arial"/>
          <w:sz w:val="18"/>
          <w:szCs w:val="18"/>
        </w:rPr>
      </w:pPr>
      <w:hyperlink r:id="rId20" w:history="1">
        <w:r w:rsidRPr="0056448B">
          <w:rPr>
            <w:rStyle w:val="Hyperlink"/>
            <w:rFonts w:ascii="Arial" w:hAnsi="Arial" w:cs="Arial"/>
            <w:sz w:val="18"/>
            <w:szCs w:val="18"/>
          </w:rPr>
          <w:t>https://www.cnbc.com/2020/10/03/coronavirus-stimulus-update-trump-urges-congress-to-pass-relief-bill.html</w:t>
        </w:r>
      </w:hyperlink>
      <w:r w:rsidRPr="0056448B">
        <w:rPr>
          <w:rFonts w:ascii="Arial" w:hAnsi="Arial" w:cs="Arial"/>
          <w:sz w:val="18"/>
          <w:szCs w:val="18"/>
        </w:rPr>
        <w:t xml:space="preserve"> </w:t>
      </w:r>
    </w:p>
    <w:p w14:paraId="78103600" w14:textId="77777777" w:rsidR="0056448B" w:rsidRPr="0056448B" w:rsidRDefault="0056448B" w:rsidP="0056448B">
      <w:pPr>
        <w:widowControl w:val="0"/>
        <w:adjustRightInd w:val="0"/>
        <w:ind w:right="-36"/>
        <w:rPr>
          <w:rFonts w:ascii="Arial" w:hAnsi="Arial" w:cs="Arial"/>
          <w:sz w:val="18"/>
          <w:szCs w:val="18"/>
        </w:rPr>
      </w:pPr>
      <w:hyperlink r:id="rId21" w:history="1">
        <w:r w:rsidRPr="0056448B">
          <w:rPr>
            <w:rStyle w:val="Hyperlink"/>
            <w:rFonts w:ascii="Arial" w:hAnsi="Arial" w:cs="Arial"/>
            <w:sz w:val="18"/>
            <w:szCs w:val="18"/>
          </w:rPr>
          <w:t>https://fred.stlouisfed.org/series/UNRATE</w:t>
        </w:r>
      </w:hyperlink>
    </w:p>
    <w:p w14:paraId="20F4900B" w14:textId="77777777" w:rsidR="0056448B" w:rsidRPr="0056448B" w:rsidRDefault="0056448B" w:rsidP="0056448B">
      <w:pPr>
        <w:widowControl w:val="0"/>
        <w:adjustRightInd w:val="0"/>
        <w:ind w:right="-36"/>
        <w:rPr>
          <w:rFonts w:ascii="Arial" w:hAnsi="Arial" w:cs="Arial"/>
          <w:sz w:val="18"/>
          <w:szCs w:val="18"/>
        </w:rPr>
      </w:pPr>
      <w:hyperlink r:id="rId22" w:history="1">
        <w:r w:rsidRPr="0056448B">
          <w:rPr>
            <w:rStyle w:val="Hyperlink"/>
            <w:rFonts w:ascii="Arial" w:hAnsi="Arial" w:cs="Arial"/>
            <w:sz w:val="18"/>
            <w:szCs w:val="18"/>
          </w:rPr>
          <w:t>https://www.cbsnews.com/news/september-jobs-report-unemployment-661k-added-rate-falls/</w:t>
        </w:r>
      </w:hyperlink>
      <w:r w:rsidRPr="0056448B">
        <w:rPr>
          <w:rFonts w:ascii="Arial" w:hAnsi="Arial" w:cs="Arial"/>
          <w:sz w:val="18"/>
          <w:szCs w:val="18"/>
        </w:rPr>
        <w:t xml:space="preserve"> </w:t>
      </w:r>
    </w:p>
    <w:p w14:paraId="6146BB27" w14:textId="77777777" w:rsidR="0056448B" w:rsidRPr="0056448B" w:rsidRDefault="0056448B" w:rsidP="0056448B">
      <w:pPr>
        <w:widowControl w:val="0"/>
        <w:adjustRightInd w:val="0"/>
        <w:ind w:right="-36"/>
        <w:rPr>
          <w:rFonts w:ascii="Arial" w:hAnsi="Arial" w:cs="Arial"/>
          <w:sz w:val="18"/>
          <w:szCs w:val="18"/>
        </w:rPr>
      </w:pPr>
      <w:hyperlink r:id="rId23" w:history="1">
        <w:r w:rsidRPr="0056448B">
          <w:rPr>
            <w:rStyle w:val="Hyperlink"/>
            <w:rFonts w:ascii="Arial" w:hAnsi="Arial" w:cs="Arial"/>
            <w:sz w:val="18"/>
            <w:szCs w:val="18"/>
          </w:rPr>
          <w:t>https://www.bea.gov/news/2020/gross-domestic-product-2nd-quarter-2020-second-estimate-corporate-profits-2nd-quarter</w:t>
        </w:r>
      </w:hyperlink>
    </w:p>
    <w:p w14:paraId="7186BA1B" w14:textId="77777777" w:rsidR="0056448B" w:rsidRPr="0056448B" w:rsidRDefault="0056448B" w:rsidP="0056448B">
      <w:pPr>
        <w:widowControl w:val="0"/>
        <w:adjustRightInd w:val="0"/>
        <w:ind w:right="-36"/>
        <w:rPr>
          <w:rFonts w:ascii="Arial" w:hAnsi="Arial" w:cs="Arial"/>
          <w:sz w:val="18"/>
          <w:szCs w:val="18"/>
        </w:rPr>
      </w:pPr>
      <w:hyperlink r:id="rId24" w:history="1">
        <w:r w:rsidRPr="0056448B">
          <w:rPr>
            <w:rStyle w:val="Hyperlink"/>
            <w:rFonts w:ascii="Arial" w:hAnsi="Arial" w:cs="Arial"/>
            <w:sz w:val="18"/>
            <w:szCs w:val="18"/>
          </w:rPr>
          <w:t>https://www.frbatlanta.org/-/media/documents/cqer/researchcq/gdpnow/RealGDPTrackingSlides.pdf</w:t>
        </w:r>
      </w:hyperlink>
    </w:p>
    <w:p w14:paraId="589E9013" w14:textId="77777777" w:rsidR="0056448B" w:rsidRPr="0056448B" w:rsidRDefault="0056448B" w:rsidP="0056448B">
      <w:pPr>
        <w:widowControl w:val="0"/>
        <w:adjustRightInd w:val="0"/>
        <w:ind w:right="-36"/>
        <w:rPr>
          <w:rStyle w:val="Hyperlink"/>
          <w:rFonts w:ascii="Arial" w:hAnsi="Arial" w:cs="Arial"/>
          <w:color w:val="000000" w:themeColor="text1"/>
          <w:sz w:val="18"/>
          <w:szCs w:val="18"/>
        </w:rPr>
      </w:pPr>
      <w:hyperlink r:id="rId25" w:history="1">
        <w:r w:rsidRPr="0056448B">
          <w:rPr>
            <w:rStyle w:val="Hyperlink"/>
            <w:rFonts w:ascii="Arial" w:hAnsi="Arial" w:cs="Arial"/>
            <w:sz w:val="18"/>
            <w:szCs w:val="18"/>
          </w:rPr>
          <w:t>https://www.bondbuyer.com/news/gdp-recovery-has-a-long-way-to-go-experts-say</w:t>
        </w:r>
      </w:hyperlink>
      <w:r w:rsidRPr="0056448B">
        <w:rPr>
          <w:rStyle w:val="Hyperlink"/>
          <w:rFonts w:ascii="Arial" w:hAnsi="Arial" w:cs="Arial"/>
          <w:sz w:val="18"/>
          <w:szCs w:val="18"/>
        </w:rPr>
        <w:t xml:space="preserve"> </w:t>
      </w:r>
      <w:r w:rsidRPr="0056448B">
        <w:rPr>
          <w:rStyle w:val="Hyperlink"/>
          <w:rFonts w:ascii="Arial" w:hAnsi="Arial" w:cs="Arial"/>
          <w:color w:val="000000" w:themeColor="text1"/>
          <w:sz w:val="18"/>
          <w:szCs w:val="18"/>
        </w:rPr>
        <w:t>(</w:t>
      </w:r>
      <w:r w:rsidRPr="0056448B">
        <w:rPr>
          <w:rStyle w:val="Hyperlink"/>
          <w:rFonts w:ascii="Arial" w:hAnsi="Arial" w:cs="Arial"/>
          <w:i/>
          <w:iCs/>
          <w:color w:val="000000" w:themeColor="text1"/>
          <w:sz w:val="18"/>
          <w:szCs w:val="18"/>
        </w:rPr>
        <w:t>or go to</w:t>
      </w:r>
      <w:r w:rsidRPr="0056448B">
        <w:rPr>
          <w:rStyle w:val="Hyperlink"/>
          <w:rFonts w:ascii="Arial" w:hAnsi="Arial" w:cs="Arial"/>
          <w:color w:val="000000" w:themeColor="text1"/>
          <w:sz w:val="18"/>
          <w:szCs w:val="18"/>
        </w:rPr>
        <w:t xml:space="preserve"> </w:t>
      </w:r>
      <w:hyperlink r:id="rId26" w:history="1">
        <w:r w:rsidRPr="0056448B">
          <w:rPr>
            <w:rStyle w:val="Hyperlink"/>
            <w:rFonts w:ascii="Arial" w:hAnsi="Arial" w:cs="Arial"/>
            <w:sz w:val="18"/>
            <w:szCs w:val="18"/>
          </w:rPr>
          <w:t>https://peakcontent.s3-us-west-2.amazonaws.com/+Peak+Commentary/10-05-20_TheBondBuyer-GDP_Recovery_has_a_Long_Way_to_Go-Footnote_15.pdf</w:t>
        </w:r>
      </w:hyperlink>
      <w:r w:rsidRPr="0056448B">
        <w:rPr>
          <w:rStyle w:val="Hyperlink"/>
          <w:rFonts w:ascii="Arial" w:hAnsi="Arial" w:cs="Arial"/>
          <w:color w:val="000000" w:themeColor="text1"/>
          <w:sz w:val="18"/>
          <w:szCs w:val="18"/>
        </w:rPr>
        <w:t>)</w:t>
      </w:r>
    </w:p>
    <w:p w14:paraId="560A02E4" w14:textId="77777777" w:rsidR="0056448B" w:rsidRPr="0056448B" w:rsidRDefault="0056448B" w:rsidP="0056448B">
      <w:pPr>
        <w:widowControl w:val="0"/>
        <w:adjustRightInd w:val="0"/>
        <w:ind w:right="-36"/>
        <w:rPr>
          <w:rFonts w:ascii="Arial" w:hAnsi="Arial" w:cs="Arial"/>
          <w:sz w:val="18"/>
          <w:szCs w:val="18"/>
        </w:rPr>
      </w:pPr>
      <w:hyperlink r:id="rId27" w:history="1">
        <w:r w:rsidRPr="0056448B">
          <w:rPr>
            <w:rStyle w:val="Hyperlink"/>
            <w:rFonts w:ascii="Arial" w:hAnsi="Arial" w:cs="Arial"/>
            <w:sz w:val="18"/>
            <w:szCs w:val="18"/>
          </w:rPr>
          <w:t>https://www.businessinsider.com/funny-test-questions-both-books-2013-1</w:t>
        </w:r>
      </w:hyperlink>
    </w:p>
    <w:p w14:paraId="591DC46F" w14:textId="77777777" w:rsidR="0056448B" w:rsidRPr="0056448B" w:rsidRDefault="0056448B" w:rsidP="0056448B">
      <w:pPr>
        <w:widowControl w:val="0"/>
        <w:adjustRightInd w:val="0"/>
        <w:ind w:right="-36"/>
        <w:rPr>
          <w:rFonts w:ascii="Arial" w:hAnsi="Arial" w:cs="Arial"/>
          <w:sz w:val="18"/>
          <w:szCs w:val="18"/>
        </w:rPr>
      </w:pPr>
      <w:hyperlink r:id="rId28" w:anchor="-6" w:history="1">
        <w:r w:rsidRPr="0056448B">
          <w:rPr>
            <w:rStyle w:val="Hyperlink"/>
            <w:rFonts w:ascii="Arial" w:hAnsi="Arial" w:cs="Arial"/>
            <w:sz w:val="18"/>
            <w:szCs w:val="18"/>
          </w:rPr>
          <w:t>https://www.businessinsider.com/funny-test-answers-from-kids-2013-1#-6</w:t>
        </w:r>
      </w:hyperlink>
    </w:p>
    <w:p w14:paraId="6605CDD5" w14:textId="77777777" w:rsidR="0056448B" w:rsidRPr="0056448B" w:rsidRDefault="0056448B" w:rsidP="0056448B">
      <w:pPr>
        <w:widowControl w:val="0"/>
        <w:adjustRightInd w:val="0"/>
        <w:ind w:right="-36"/>
        <w:rPr>
          <w:rFonts w:ascii="Arial" w:hAnsi="Arial" w:cs="Arial"/>
          <w:sz w:val="18"/>
          <w:szCs w:val="18"/>
        </w:rPr>
      </w:pPr>
      <w:hyperlink r:id="rId29" w:history="1">
        <w:r w:rsidRPr="0056448B">
          <w:rPr>
            <w:rStyle w:val="Hyperlink"/>
            <w:rFonts w:ascii="Arial" w:hAnsi="Arial" w:cs="Arial"/>
            <w:sz w:val="18"/>
            <w:szCs w:val="18"/>
          </w:rPr>
          <w:t>https://www.livewiremarkets.com/wires/ten-quotes-on-volatility-from-the-masters-of-the-market</w:t>
        </w:r>
      </w:hyperlink>
    </w:p>
    <w:p w14:paraId="0D515E06" w14:textId="224F7581" w:rsidR="00AF26E7" w:rsidRPr="0056448B" w:rsidRDefault="00AF26E7" w:rsidP="0056448B">
      <w:pPr>
        <w:widowControl w:val="0"/>
        <w:adjustRightInd w:val="0"/>
        <w:ind w:right="-36"/>
        <w:rPr>
          <w:rFonts w:ascii="Arial" w:hAnsi="Arial" w:cs="Arial"/>
          <w:sz w:val="18"/>
          <w:szCs w:val="18"/>
        </w:rPr>
      </w:pPr>
    </w:p>
    <w:sectPr w:rsidR="00AF26E7" w:rsidRPr="0056448B" w:rsidSect="005F1A60">
      <w:headerReference w:type="default" r:id="rId30"/>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68F2E" w14:textId="77777777" w:rsidR="00CC4A48" w:rsidRDefault="00CC4A48" w:rsidP="00057E69">
      <w:pPr>
        <w:spacing w:after="0" w:line="240" w:lineRule="auto"/>
      </w:pPr>
      <w:r>
        <w:separator/>
      </w:r>
    </w:p>
  </w:endnote>
  <w:endnote w:type="continuationSeparator" w:id="0">
    <w:p w14:paraId="1D7DC8BF" w14:textId="77777777" w:rsidR="00CC4A48" w:rsidRDefault="00CC4A48"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4AD54" w14:textId="77777777" w:rsidR="00CC4A48" w:rsidRDefault="00CC4A48" w:rsidP="00057E69">
      <w:pPr>
        <w:spacing w:after="0" w:line="240" w:lineRule="auto"/>
      </w:pPr>
      <w:r>
        <w:separator/>
      </w:r>
    </w:p>
  </w:footnote>
  <w:footnote w:type="continuationSeparator" w:id="0">
    <w:p w14:paraId="55D18F20" w14:textId="77777777" w:rsidR="00CC4A48" w:rsidRDefault="00CC4A48"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759CC923">
          <wp:simplePos x="0" y="0"/>
          <wp:positionH relativeFrom="column">
            <wp:posOffset>-697963</wp:posOffset>
          </wp:positionH>
          <wp:positionV relativeFrom="page">
            <wp:posOffset>-13970</wp:posOffset>
          </wp:positionV>
          <wp:extent cx="7794103" cy="1008653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5"/>
  </w:num>
  <w:num w:numId="4">
    <w:abstractNumId w:val="16"/>
  </w:num>
  <w:num w:numId="5">
    <w:abstractNumId w:val="4"/>
  </w:num>
  <w:num w:numId="6">
    <w:abstractNumId w:val="24"/>
  </w:num>
  <w:num w:numId="7">
    <w:abstractNumId w:val="10"/>
  </w:num>
  <w:num w:numId="8">
    <w:abstractNumId w:val="19"/>
  </w:num>
  <w:num w:numId="9">
    <w:abstractNumId w:val="25"/>
  </w:num>
  <w:num w:numId="10">
    <w:abstractNumId w:val="12"/>
  </w:num>
  <w:num w:numId="11">
    <w:abstractNumId w:val="20"/>
  </w:num>
  <w:num w:numId="12">
    <w:abstractNumId w:val="7"/>
  </w:num>
  <w:num w:numId="13">
    <w:abstractNumId w:val="0"/>
  </w:num>
  <w:num w:numId="14">
    <w:abstractNumId w:val="21"/>
  </w:num>
  <w:num w:numId="15">
    <w:abstractNumId w:val="6"/>
  </w:num>
  <w:num w:numId="16">
    <w:abstractNumId w:val="3"/>
  </w:num>
  <w:num w:numId="17">
    <w:abstractNumId w:val="26"/>
  </w:num>
  <w:num w:numId="18">
    <w:abstractNumId w:val="22"/>
  </w:num>
  <w:num w:numId="19">
    <w:abstractNumId w:val="13"/>
  </w:num>
  <w:num w:numId="20">
    <w:abstractNumId w:val="9"/>
  </w:num>
  <w:num w:numId="21">
    <w:abstractNumId w:val="1"/>
  </w:num>
  <w:num w:numId="22">
    <w:abstractNumId w:val="2"/>
  </w:num>
  <w:num w:numId="23">
    <w:abstractNumId w:val="5"/>
  </w:num>
  <w:num w:numId="24">
    <w:abstractNumId w:val="8"/>
  </w:num>
  <w:num w:numId="25">
    <w:abstractNumId w:val="17"/>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379A5"/>
    <w:rsid w:val="00057E69"/>
    <w:rsid w:val="00091647"/>
    <w:rsid w:val="00190BD4"/>
    <w:rsid w:val="001C04CA"/>
    <w:rsid w:val="001D2C91"/>
    <w:rsid w:val="00213E4F"/>
    <w:rsid w:val="00241AF2"/>
    <w:rsid w:val="0026229E"/>
    <w:rsid w:val="002D1BE6"/>
    <w:rsid w:val="002D2B65"/>
    <w:rsid w:val="00302ABE"/>
    <w:rsid w:val="00312AAE"/>
    <w:rsid w:val="00372859"/>
    <w:rsid w:val="0037381D"/>
    <w:rsid w:val="003A1586"/>
    <w:rsid w:val="003D1CDD"/>
    <w:rsid w:val="003F1C34"/>
    <w:rsid w:val="00406656"/>
    <w:rsid w:val="004160B8"/>
    <w:rsid w:val="004375FB"/>
    <w:rsid w:val="004A153D"/>
    <w:rsid w:val="004B2334"/>
    <w:rsid w:val="0056448B"/>
    <w:rsid w:val="005C485D"/>
    <w:rsid w:val="005F1A60"/>
    <w:rsid w:val="00620BCF"/>
    <w:rsid w:val="006265AE"/>
    <w:rsid w:val="0066228A"/>
    <w:rsid w:val="006A5E57"/>
    <w:rsid w:val="007827B4"/>
    <w:rsid w:val="0078613C"/>
    <w:rsid w:val="00830B64"/>
    <w:rsid w:val="00836E79"/>
    <w:rsid w:val="00852C1D"/>
    <w:rsid w:val="008F3DC9"/>
    <w:rsid w:val="009A0723"/>
    <w:rsid w:val="009A62B0"/>
    <w:rsid w:val="009B3AAF"/>
    <w:rsid w:val="00A0081D"/>
    <w:rsid w:val="00AF1D95"/>
    <w:rsid w:val="00AF26E7"/>
    <w:rsid w:val="00B4024A"/>
    <w:rsid w:val="00B418B9"/>
    <w:rsid w:val="00BE7D4E"/>
    <w:rsid w:val="00C801C6"/>
    <w:rsid w:val="00C9218B"/>
    <w:rsid w:val="00CB6ECE"/>
    <w:rsid w:val="00CC4A48"/>
    <w:rsid w:val="00D35070"/>
    <w:rsid w:val="00DD273E"/>
    <w:rsid w:val="00DD6A8A"/>
    <w:rsid w:val="00DE3208"/>
    <w:rsid w:val="00E27684"/>
    <w:rsid w:val="00E86735"/>
    <w:rsid w:val="00EA5B71"/>
    <w:rsid w:val="00F0624C"/>
    <w:rsid w:val="00F37CA0"/>
    <w:rsid w:val="00F753F9"/>
    <w:rsid w:val="00F97837"/>
    <w:rsid w:val="00FE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rons.com/articles/stocks-end-week-higher-after-president-donald-trump-tests-positive-for-covid-19-51601686754?refsec=the-trader" TargetMode="External"/><Relationship Id="rId13" Type="http://schemas.openxmlformats.org/officeDocument/2006/relationships/hyperlink" Target="https://www.barrons.com/articles/the-stock-markets-august-gains-turned-to-september-pain-what-happens-next-51599266176" TargetMode="External"/><Relationship Id="rId18" Type="http://schemas.openxmlformats.org/officeDocument/2006/relationships/hyperlink" Target="https://www.kiplinger.com/investing/stocks/601490/stock-market-today-100120-stimulus-talks-keep-stringing-stocks-along" TargetMode="External"/><Relationship Id="rId26" Type="http://schemas.openxmlformats.org/officeDocument/2006/relationships/hyperlink" Target="https://peakcontent.s3-us-west-2.amazonaws.com/+Peak+Commentary/10-05-20_TheBondBuyer-GDP_Recovery_has_a_Long_Way_to_Go-Footnote_15.pdf" TargetMode="External"/><Relationship Id="rId3" Type="http://schemas.openxmlformats.org/officeDocument/2006/relationships/styles" Target="styles.xml"/><Relationship Id="rId21" Type="http://schemas.openxmlformats.org/officeDocument/2006/relationships/hyperlink" Target="https://fred.stlouisfed.org/series/UNRATE" TargetMode="External"/><Relationship Id="rId7" Type="http://schemas.openxmlformats.org/officeDocument/2006/relationships/endnotes" Target="endnotes.xml"/><Relationship Id="rId12" Type="http://schemas.openxmlformats.org/officeDocument/2006/relationships/hyperlink" Target="https://fred.stlouisfed.org/series/SP500" TargetMode="External"/><Relationship Id="rId17" Type="http://schemas.openxmlformats.org/officeDocument/2006/relationships/hyperlink" Target="https://www.treasury.gov/resource-center/data-chart-center/interest-rates/pages/TextView.aspx?data=yieldYear&amp;year=2020" TargetMode="External"/><Relationship Id="rId25" Type="http://schemas.openxmlformats.org/officeDocument/2006/relationships/hyperlink" Target="https://www.bondbuyer.com/news/gdp-recovery-has-a-long-way-to-go-experts-say" TargetMode="External"/><Relationship Id="rId2" Type="http://schemas.openxmlformats.org/officeDocument/2006/relationships/numbering" Target="numbering.xml"/><Relationship Id="rId16" Type="http://schemas.openxmlformats.org/officeDocument/2006/relationships/hyperlink" Target="https://finance.yahoo.com/quote/%5ETNX/history?p=%5ETNX" TargetMode="External"/><Relationship Id="rId20" Type="http://schemas.openxmlformats.org/officeDocument/2006/relationships/hyperlink" Target="https://www.cnbc.com/2020/10/03/coronavirus-stimulus-update-trump-urges-congress-to-pass-relief-bill.html" TargetMode="External"/><Relationship Id="rId29" Type="http://schemas.openxmlformats.org/officeDocument/2006/relationships/hyperlink" Target="https://www.livewiremarkets.com/wires/ten-quotes-on-volatility-from-the-masters-of-the-mark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akcontent.s3-us-west-2.amazonaws.com/+Peak+Commentary/10-05-20_Barrons-Market_Data-Footnote_2.pdf" TargetMode="External"/><Relationship Id="rId24" Type="http://schemas.openxmlformats.org/officeDocument/2006/relationships/hyperlink" Target="https://www.frbatlanta.org/-/media/documents/cqer/researchcq/gdpnow/RealGDPTrackingSlide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ederalreserve.gov/newsevents/pressreleases/monetary20200916a.htm" TargetMode="External"/><Relationship Id="rId23" Type="http://schemas.openxmlformats.org/officeDocument/2006/relationships/hyperlink" Target="https://www.bea.gov/news/2020/gross-domestic-product-2nd-quarter-2020-second-estimate-corporate-profits-2nd-quarter" TargetMode="External"/><Relationship Id="rId28" Type="http://schemas.openxmlformats.org/officeDocument/2006/relationships/hyperlink" Target="https://www.businessinsider.com/funny-test-answers-from-kids-2013-1" TargetMode="External"/><Relationship Id="rId10" Type="http://schemas.openxmlformats.org/officeDocument/2006/relationships/hyperlink" Target="https://www.barrons.com/market-data/stocks?mod=md_subnav" TargetMode="External"/><Relationship Id="rId19" Type="http://schemas.openxmlformats.org/officeDocument/2006/relationships/hyperlink" Target="https://www.marketwatch.com/story/another-coronavirus-aid-package-is-probably-not-happening-after-august-jobs-report-and-deal-to-avoid-government-shutdown-analyst-says-2020-09-0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akcontent.s3-us-west-2.amazonaws.com/+Peak+Commentary/10-05-20_Barrons-Trumps_Positive_COVID_Test_Added_a_New_Wrinkle_for_the_Stock_Market-Footnote_1.pdf" TargetMode="External"/><Relationship Id="rId14" Type="http://schemas.openxmlformats.org/officeDocument/2006/relationships/hyperlink" Target="https://peakcontent.s3-us-west-2.amazonaws.com/+Peak+Commentary/10-05-20_Barrons-Tech_Stocks_Finally_Got_Crushed-Footnote_4.pdf" TargetMode="External"/><Relationship Id="rId22" Type="http://schemas.openxmlformats.org/officeDocument/2006/relationships/hyperlink" Target="https://www.cbsnews.com/news/september-jobs-report-unemployment-661k-added-rate-falls/" TargetMode="External"/><Relationship Id="rId27" Type="http://schemas.openxmlformats.org/officeDocument/2006/relationships/hyperlink" Target="https://www.businessinsider.com/funny-test-questions-both-books-2013-1"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DA64-39FA-4153-AA41-12B58712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1696</Words>
  <Characters>10871</Characters>
  <Application>Microsoft Office Word</Application>
  <DocSecurity>0</DocSecurity>
  <Lines>209</Lines>
  <Paragraphs>130</Paragraphs>
  <ScaleCrop>false</ScaleCrop>
  <HeadingPairs>
    <vt:vector size="2" baseType="variant">
      <vt:variant>
        <vt:lpstr>Title</vt:lpstr>
      </vt:variant>
      <vt:variant>
        <vt:i4>1</vt:i4>
      </vt:variant>
    </vt:vector>
  </HeadingPairs>
  <TitlesOfParts>
    <vt:vector size="1" baseType="lpstr">
      <vt:lpstr>Market Commentary</vt:lpstr>
    </vt:vector>
  </TitlesOfParts>
  <Manager/>
  <Company/>
  <LinksUpToDate>false</LinksUpToDate>
  <CharactersWithSpaces>12461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Commentary 10-05-20</dc:title>
  <dc:subject/>
  <dc:creator>Carson Coaching</dc:creator>
  <cp:keywords/>
  <dc:description/>
  <cp:lastModifiedBy>Mark Burwell</cp:lastModifiedBy>
  <cp:revision>5</cp:revision>
  <dcterms:created xsi:type="dcterms:W3CDTF">2020-10-04T22:37:00Z</dcterms:created>
  <dcterms:modified xsi:type="dcterms:W3CDTF">2020-10-04T22:42:00Z</dcterms:modified>
  <cp:category/>
</cp:coreProperties>
</file>