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1C38F5F4"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3D74E6">
        <w:rPr>
          <w:rFonts w:ascii="Arial" w:hAnsi="Arial" w:cs="Arial"/>
          <w:b/>
          <w:color w:val="0D304A"/>
          <w:sz w:val="72"/>
          <w:szCs w:val="72"/>
        </w:rPr>
        <w:t>New Year’s Day</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7E7B82B1"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573D3A">
        <w:rPr>
          <w:rFonts w:ascii="Arial" w:hAnsi="Arial" w:cs="Arial"/>
          <w:iCs/>
          <w:color w:val="35DB86"/>
        </w:rPr>
        <w:t>491751-1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0F75229C" w:rsidR="007E48F4" w:rsidRPr="007E48F4" w:rsidRDefault="007E48F4" w:rsidP="007E48F4">
      <w:pPr>
        <w:pStyle w:val="Heading1"/>
        <w:spacing w:before="0" w:after="0"/>
        <w:rPr>
          <w:b w:val="0"/>
          <w:sz w:val="22"/>
          <w:szCs w:val="22"/>
        </w:rPr>
      </w:pPr>
      <w:r w:rsidRPr="007E48F4">
        <w:rPr>
          <w:sz w:val="22"/>
          <w:szCs w:val="22"/>
        </w:rPr>
        <w:t xml:space="preserve">[Subject line] </w:t>
      </w:r>
      <w:r w:rsidR="003D74E6" w:rsidRPr="003D74E6">
        <w:rPr>
          <w:sz w:val="22"/>
          <w:szCs w:val="22"/>
        </w:rPr>
        <w:t>Find the Opportunity in Each Day this Year</w:t>
      </w:r>
    </w:p>
    <w:p w14:paraId="5FF706FB" w14:textId="77777777" w:rsidR="007E48F4" w:rsidRPr="007E48F4" w:rsidRDefault="007E48F4" w:rsidP="007E48F4">
      <w:pPr>
        <w:spacing w:after="0" w:line="240" w:lineRule="auto"/>
        <w:rPr>
          <w:rFonts w:ascii="Arial" w:hAnsi="Arial" w:cs="Arial"/>
        </w:rPr>
      </w:pPr>
    </w:p>
    <w:p w14:paraId="31CC803F" w14:textId="77777777" w:rsidR="003D74E6" w:rsidRDefault="003D74E6" w:rsidP="003D74E6">
      <w:pPr>
        <w:spacing w:after="0" w:line="240" w:lineRule="auto"/>
        <w:rPr>
          <w:rFonts w:ascii="Arial" w:hAnsi="Arial" w:cs="Arial"/>
        </w:rPr>
      </w:pPr>
      <w:r w:rsidRPr="220CC51D">
        <w:rPr>
          <w:rFonts w:ascii="Arial" w:hAnsi="Arial" w:cs="Arial"/>
        </w:rPr>
        <w:t>Professor Michael Josephson said, “Approach the New Year with resolve to find the opportunities hidden in each new day.”</w:t>
      </w:r>
      <w:r w:rsidRPr="220CC51D">
        <w:rPr>
          <w:rFonts w:ascii="Arial" w:hAnsi="Arial" w:cs="Arial"/>
          <w:vertAlign w:val="superscript"/>
        </w:rPr>
        <w:t>1</w:t>
      </w:r>
    </w:p>
    <w:p w14:paraId="0D60B0A7" w14:textId="77777777" w:rsidR="003D74E6" w:rsidRDefault="003D74E6" w:rsidP="003D74E6">
      <w:pPr>
        <w:spacing w:after="0" w:line="240" w:lineRule="auto"/>
        <w:rPr>
          <w:rFonts w:ascii="Arial" w:hAnsi="Arial" w:cs="Arial"/>
        </w:rPr>
      </w:pPr>
    </w:p>
    <w:p w14:paraId="5165C03F" w14:textId="77777777" w:rsidR="003D74E6" w:rsidRDefault="003D74E6" w:rsidP="003D74E6">
      <w:pPr>
        <w:spacing w:after="0" w:line="240" w:lineRule="auto"/>
        <w:rPr>
          <w:rFonts w:ascii="Arial" w:hAnsi="Arial" w:cs="Arial"/>
        </w:rPr>
      </w:pPr>
      <w:r w:rsidRPr="220CC51D">
        <w:rPr>
          <w:rFonts w:ascii="Arial" w:hAnsi="Arial" w:cs="Arial"/>
        </w:rPr>
        <w:t>It’s the start of a new year! And while entrepreneur and author Chris Behnke notes that it’s normal to look back and berate yourself for past mistakes, it’s not exactly helpful because it’s those hard times that make us resilient.</w:t>
      </w:r>
      <w:r w:rsidRPr="220CC51D">
        <w:rPr>
          <w:rFonts w:ascii="Arial" w:hAnsi="Arial" w:cs="Arial"/>
          <w:vertAlign w:val="superscript"/>
        </w:rPr>
        <w:t>2</w:t>
      </w:r>
    </w:p>
    <w:p w14:paraId="478D18F6" w14:textId="77777777" w:rsidR="003D74E6" w:rsidRDefault="003D74E6" w:rsidP="003D74E6">
      <w:pPr>
        <w:spacing w:after="0" w:line="240" w:lineRule="auto"/>
        <w:rPr>
          <w:rFonts w:ascii="Arial" w:hAnsi="Arial" w:cs="Arial"/>
        </w:rPr>
      </w:pPr>
    </w:p>
    <w:p w14:paraId="0B037AAC" w14:textId="77777777" w:rsidR="003D74E6" w:rsidRDefault="003D74E6" w:rsidP="003D74E6">
      <w:pPr>
        <w:spacing w:after="0" w:line="240" w:lineRule="auto"/>
        <w:rPr>
          <w:rFonts w:ascii="Arial" w:hAnsi="Arial" w:cs="Arial"/>
          <w:vertAlign w:val="superscript"/>
        </w:rPr>
      </w:pPr>
      <w:r w:rsidRPr="220CC51D">
        <w:rPr>
          <w:rFonts w:ascii="Arial" w:hAnsi="Arial" w:cs="Arial"/>
        </w:rPr>
        <w:t>All the mistakes we made in 2023 will make for a better 2024. But as the fictional character Anne in L.M. Montgomery's Anne of Green Gables said, “Tomorrow is a new day with no mistakes in it...yet.”</w:t>
      </w:r>
      <w:r w:rsidRPr="220CC51D">
        <w:rPr>
          <w:rFonts w:ascii="Arial" w:hAnsi="Arial" w:cs="Arial"/>
          <w:vertAlign w:val="superscript"/>
        </w:rPr>
        <w:t>3</w:t>
      </w:r>
      <w:r w:rsidRPr="220CC51D">
        <w:rPr>
          <w:rFonts w:ascii="Arial" w:hAnsi="Arial" w:cs="Arial"/>
        </w:rPr>
        <w:t xml:space="preserve"> And, Behnke says, a new day is an opportunity to try again and make different decisions.</w:t>
      </w:r>
      <w:r w:rsidRPr="220CC51D">
        <w:rPr>
          <w:rFonts w:ascii="Arial" w:hAnsi="Arial" w:cs="Arial"/>
          <w:vertAlign w:val="superscript"/>
        </w:rPr>
        <w:t xml:space="preserve">2 </w:t>
      </w:r>
    </w:p>
    <w:p w14:paraId="1F85E224" w14:textId="77777777" w:rsidR="003D74E6" w:rsidRDefault="003D74E6" w:rsidP="003D74E6">
      <w:pPr>
        <w:spacing w:after="0" w:line="240" w:lineRule="auto"/>
        <w:rPr>
          <w:rFonts w:ascii="Arial" w:hAnsi="Arial" w:cs="Arial"/>
        </w:rPr>
      </w:pPr>
    </w:p>
    <w:p w14:paraId="6E4147C2" w14:textId="77777777" w:rsidR="003D74E6" w:rsidRDefault="003D74E6" w:rsidP="003D74E6">
      <w:pPr>
        <w:spacing w:after="0" w:line="240" w:lineRule="auto"/>
      </w:pPr>
      <w:r w:rsidRPr="220CC51D">
        <w:rPr>
          <w:rFonts w:ascii="Arial" w:hAnsi="Arial" w:cs="Arial"/>
        </w:rPr>
        <w:t xml:space="preserve">We can’t predict the future, but one general thing we can always count on is that we will get some struggle thrown our way in 2024. But it’s how we handle it that will turn any hardship into an opportunity. </w:t>
      </w:r>
    </w:p>
    <w:p w14:paraId="596ABEA8" w14:textId="77777777" w:rsidR="003D74E6" w:rsidRDefault="003D74E6" w:rsidP="003D74E6">
      <w:pPr>
        <w:spacing w:after="0" w:line="240" w:lineRule="auto"/>
        <w:rPr>
          <w:rFonts w:ascii="Arial" w:hAnsi="Arial" w:cs="Arial"/>
        </w:rPr>
      </w:pPr>
    </w:p>
    <w:p w14:paraId="6F21237F" w14:textId="77777777" w:rsidR="003D74E6" w:rsidRDefault="003D74E6" w:rsidP="003D74E6">
      <w:pPr>
        <w:spacing w:after="0" w:line="240" w:lineRule="auto"/>
        <w:rPr>
          <w:rFonts w:ascii="Arial" w:hAnsi="Arial" w:cs="Arial"/>
          <w:vertAlign w:val="superscript"/>
        </w:rPr>
      </w:pPr>
      <w:r w:rsidRPr="220CC51D">
        <w:rPr>
          <w:rFonts w:ascii="Arial" w:hAnsi="Arial" w:cs="Arial"/>
          <w:i/>
          <w:iCs/>
        </w:rPr>
        <w:t>Forbes</w:t>
      </w:r>
      <w:r w:rsidRPr="220CC51D">
        <w:rPr>
          <w:rFonts w:ascii="Arial" w:hAnsi="Arial" w:cs="Arial"/>
        </w:rPr>
        <w:t xml:space="preserve"> reports there are several ways to see the opportunity in curveballs, including:</w:t>
      </w:r>
      <w:r w:rsidRPr="220CC51D">
        <w:rPr>
          <w:rFonts w:ascii="Arial" w:hAnsi="Arial" w:cs="Arial"/>
          <w:vertAlign w:val="superscript"/>
        </w:rPr>
        <w:t>4</w:t>
      </w:r>
    </w:p>
    <w:p w14:paraId="655BB1A0" w14:textId="77777777" w:rsidR="003D74E6" w:rsidRDefault="003D74E6" w:rsidP="003D74E6">
      <w:pPr>
        <w:pStyle w:val="ListParagraph"/>
        <w:numPr>
          <w:ilvl w:val="0"/>
          <w:numId w:val="34"/>
        </w:numPr>
        <w:spacing w:after="0" w:line="240" w:lineRule="auto"/>
        <w:rPr>
          <w:rFonts w:ascii="Arial" w:hAnsi="Arial" w:cs="Arial"/>
        </w:rPr>
      </w:pPr>
      <w:r w:rsidRPr="220CC51D">
        <w:rPr>
          <w:rFonts w:ascii="Arial" w:hAnsi="Arial" w:cs="Arial"/>
          <w:b/>
          <w:bCs/>
        </w:rPr>
        <w:t xml:space="preserve">Embrace it. </w:t>
      </w:r>
      <w:r w:rsidRPr="220CC51D">
        <w:rPr>
          <w:rFonts w:ascii="Arial" w:hAnsi="Arial" w:cs="Arial"/>
        </w:rPr>
        <w:t xml:space="preserve">Acknowledge and embrace your current reality, rather than ignoring it and going into your comfort zone. When faced with adversity, figure out the underlying causes, take responsibility, and face it head-on. </w:t>
      </w:r>
    </w:p>
    <w:p w14:paraId="09BA35F3" w14:textId="77777777" w:rsidR="003D74E6" w:rsidRDefault="003D74E6" w:rsidP="003D74E6">
      <w:pPr>
        <w:pStyle w:val="ListParagraph"/>
        <w:numPr>
          <w:ilvl w:val="0"/>
          <w:numId w:val="34"/>
        </w:numPr>
        <w:spacing w:after="0" w:line="240" w:lineRule="auto"/>
        <w:rPr>
          <w:rFonts w:ascii="Arial" w:hAnsi="Arial" w:cs="Arial"/>
        </w:rPr>
      </w:pPr>
      <w:r w:rsidRPr="220CC51D">
        <w:rPr>
          <w:rFonts w:ascii="Arial" w:hAnsi="Arial" w:cs="Arial"/>
          <w:b/>
          <w:bCs/>
        </w:rPr>
        <w:t>Engage in self-compassion</w:t>
      </w:r>
      <w:r w:rsidRPr="220CC51D">
        <w:rPr>
          <w:rFonts w:ascii="Arial" w:hAnsi="Arial" w:cs="Arial"/>
        </w:rPr>
        <w:t xml:space="preserve">. Everyone has their fair share of tough times and during these moments, we tend to overlook the importance of self-empathy. But you have to take time to be compassionate with yourself to boost your emotional well-being and confidence. </w:t>
      </w:r>
    </w:p>
    <w:p w14:paraId="47B45131" w14:textId="77777777" w:rsidR="003D74E6" w:rsidRDefault="003D74E6" w:rsidP="003D74E6">
      <w:pPr>
        <w:pStyle w:val="ListParagraph"/>
        <w:numPr>
          <w:ilvl w:val="0"/>
          <w:numId w:val="34"/>
        </w:numPr>
        <w:spacing w:after="0" w:line="240" w:lineRule="auto"/>
        <w:rPr>
          <w:rFonts w:ascii="Arial" w:hAnsi="Arial" w:cs="Arial"/>
        </w:rPr>
      </w:pPr>
      <w:r w:rsidRPr="220CC51D">
        <w:rPr>
          <w:rFonts w:ascii="Arial" w:hAnsi="Arial" w:cs="Arial"/>
          <w:b/>
          <w:bCs/>
        </w:rPr>
        <w:t>Boost your emotional intelligence.</w:t>
      </w:r>
      <w:r w:rsidRPr="220CC51D">
        <w:rPr>
          <w:rFonts w:ascii="Arial" w:hAnsi="Arial" w:cs="Arial"/>
        </w:rPr>
        <w:t xml:space="preserve"> Empower yourself and become the master of your emotions by truly experiencing and understanding them. Pay attention to how you react when triggered and take note of the emotions that emerge. Increasing your self-awareness and giving your feelings names are powerful ways to diminish their influence, ultimately leading to a more fulfilling and vibrant existence.</w:t>
      </w:r>
    </w:p>
    <w:p w14:paraId="6B9B9B31" w14:textId="77777777" w:rsidR="003D74E6" w:rsidRDefault="003D74E6" w:rsidP="003D74E6">
      <w:pPr>
        <w:pStyle w:val="ListParagraph"/>
        <w:numPr>
          <w:ilvl w:val="0"/>
          <w:numId w:val="34"/>
        </w:numPr>
        <w:spacing w:after="0" w:line="240" w:lineRule="auto"/>
        <w:rPr>
          <w:rFonts w:ascii="Arial" w:hAnsi="Arial" w:cs="Arial"/>
        </w:rPr>
      </w:pPr>
      <w:r w:rsidRPr="220CC51D">
        <w:rPr>
          <w:rFonts w:ascii="Arial" w:hAnsi="Arial" w:cs="Arial"/>
          <w:b/>
          <w:bCs/>
        </w:rPr>
        <w:t>Take care of your physical and mental health.</w:t>
      </w:r>
      <w:r w:rsidRPr="220CC51D">
        <w:rPr>
          <w:rFonts w:ascii="Arial" w:hAnsi="Arial" w:cs="Arial"/>
        </w:rPr>
        <w:t xml:space="preserve"> Things like daily exercise, meditation and eating well can all help your physical and emotional health so you can make more optimal choices and better handle any negative emotions. </w:t>
      </w:r>
    </w:p>
    <w:p w14:paraId="4B9D9133" w14:textId="77777777" w:rsidR="003D74E6" w:rsidRPr="003B7C64" w:rsidRDefault="003D74E6" w:rsidP="003D74E6">
      <w:pPr>
        <w:spacing w:after="0" w:line="240" w:lineRule="auto"/>
        <w:rPr>
          <w:rFonts w:ascii="Arial" w:hAnsi="Arial" w:cs="Arial"/>
        </w:rPr>
      </w:pPr>
    </w:p>
    <w:p w14:paraId="76D828AA" w14:textId="77777777" w:rsidR="003D74E6" w:rsidRDefault="003D74E6" w:rsidP="003D74E6">
      <w:pPr>
        <w:spacing w:after="0" w:line="240" w:lineRule="auto"/>
      </w:pPr>
      <w:r w:rsidRPr="220CC51D">
        <w:rPr>
          <w:rFonts w:ascii="Arial" w:hAnsi="Arial" w:cs="Arial"/>
        </w:rPr>
        <w:lastRenderedPageBreak/>
        <w:t>We wish you the very best 2024 with as few curveballs as possible. And while we can’t predict the future, we can help you plan for it so give us a call and we can help you with your plan!</w:t>
      </w:r>
    </w:p>
    <w:p w14:paraId="5D9D0B79" w14:textId="77777777" w:rsidR="003D74E6" w:rsidRDefault="003D74E6" w:rsidP="003D74E6">
      <w:pPr>
        <w:spacing w:after="0" w:line="240" w:lineRule="auto"/>
        <w:rPr>
          <w:rFonts w:ascii="Arial" w:hAnsi="Arial" w:cs="Arial"/>
        </w:rPr>
      </w:pPr>
    </w:p>
    <w:p w14:paraId="6CCE1BC3" w14:textId="77777777" w:rsidR="003D74E6" w:rsidRPr="003B7C64" w:rsidRDefault="003D74E6" w:rsidP="003D74E6">
      <w:pPr>
        <w:spacing w:after="0" w:line="240" w:lineRule="auto"/>
        <w:rPr>
          <w:rFonts w:ascii="Arial" w:hAnsi="Arial" w:cs="Arial"/>
        </w:rPr>
      </w:pPr>
      <w:r w:rsidRPr="220CC51D">
        <w:rPr>
          <w:rFonts w:ascii="Arial" w:hAnsi="Arial" w:cs="Arial"/>
        </w:rPr>
        <w:t xml:space="preserve">Cheers to the New Year!  </w:t>
      </w:r>
    </w:p>
    <w:p w14:paraId="3A0BFCE1" w14:textId="77777777" w:rsidR="003D74E6" w:rsidRPr="003B7C64" w:rsidRDefault="003D74E6" w:rsidP="003D74E6">
      <w:pPr>
        <w:spacing w:after="0" w:line="240" w:lineRule="auto"/>
        <w:rPr>
          <w:rFonts w:ascii="Arial" w:hAnsi="Arial" w:cs="Arial"/>
        </w:rPr>
      </w:pPr>
    </w:p>
    <w:p w14:paraId="78F11316" w14:textId="77777777" w:rsidR="003D74E6" w:rsidRPr="003B7C64" w:rsidRDefault="003D74E6" w:rsidP="003D74E6">
      <w:pPr>
        <w:spacing w:after="0" w:line="240" w:lineRule="auto"/>
        <w:rPr>
          <w:rFonts w:ascii="Arial" w:hAnsi="Arial" w:cs="Arial"/>
          <w:sz w:val="18"/>
          <w:szCs w:val="18"/>
        </w:rPr>
      </w:pPr>
      <w:r w:rsidRPr="003B7C64">
        <w:rPr>
          <w:rFonts w:ascii="Arial" w:hAnsi="Arial" w:cs="Arial"/>
          <w:sz w:val="18"/>
          <w:szCs w:val="18"/>
        </w:rPr>
        <w:t>Sources:</w:t>
      </w:r>
    </w:p>
    <w:p w14:paraId="53761A8B" w14:textId="77777777" w:rsidR="003D74E6" w:rsidRDefault="003D74E6" w:rsidP="003D74E6">
      <w:pPr>
        <w:spacing w:after="0" w:line="240" w:lineRule="auto"/>
        <w:rPr>
          <w:rFonts w:ascii="Arial" w:hAnsi="Arial" w:cs="Arial"/>
          <w:sz w:val="18"/>
          <w:szCs w:val="18"/>
        </w:rPr>
      </w:pPr>
      <w:r w:rsidRPr="220CC51D">
        <w:rPr>
          <w:rFonts w:ascii="Arial" w:hAnsi="Arial" w:cs="Arial"/>
          <w:sz w:val="18"/>
          <w:szCs w:val="18"/>
          <w:vertAlign w:val="superscript"/>
        </w:rPr>
        <w:t>1</w:t>
      </w:r>
      <w:r w:rsidRPr="220CC51D">
        <w:rPr>
          <w:rFonts w:ascii="Arial" w:hAnsi="Arial" w:cs="Arial"/>
          <w:sz w:val="18"/>
          <w:szCs w:val="18"/>
        </w:rPr>
        <w:t xml:space="preserve"> </w:t>
      </w:r>
      <w:hyperlink r:id="rId8">
        <w:r w:rsidRPr="220CC51D">
          <w:rPr>
            <w:rStyle w:val="Hyperlink"/>
            <w:rFonts w:ascii="Arial" w:hAnsi="Arial" w:cs="Arial"/>
            <w:sz w:val="18"/>
            <w:szCs w:val="18"/>
          </w:rPr>
          <w:t>https://www.goodhousekeeping.com/holidays/g4069/new-years-quotes/</w:t>
        </w:r>
      </w:hyperlink>
      <w:r w:rsidRPr="220CC51D">
        <w:rPr>
          <w:rFonts w:ascii="Arial" w:hAnsi="Arial" w:cs="Arial"/>
          <w:sz w:val="18"/>
          <w:szCs w:val="18"/>
        </w:rPr>
        <w:t xml:space="preserve"> </w:t>
      </w:r>
    </w:p>
    <w:p w14:paraId="74E52188" w14:textId="77777777" w:rsidR="003D74E6" w:rsidRDefault="003D74E6" w:rsidP="003D74E6">
      <w:pPr>
        <w:spacing w:after="0" w:line="240" w:lineRule="auto"/>
        <w:rPr>
          <w:rFonts w:ascii="Arial" w:hAnsi="Arial" w:cs="Arial"/>
          <w:sz w:val="18"/>
          <w:szCs w:val="18"/>
        </w:rPr>
      </w:pPr>
      <w:r w:rsidRPr="220CC51D">
        <w:rPr>
          <w:rFonts w:ascii="Arial" w:hAnsi="Arial" w:cs="Arial"/>
          <w:sz w:val="18"/>
          <w:szCs w:val="18"/>
          <w:vertAlign w:val="superscript"/>
        </w:rPr>
        <w:t>2</w:t>
      </w:r>
      <w:r w:rsidRPr="220CC51D">
        <w:rPr>
          <w:rFonts w:ascii="Arial" w:hAnsi="Arial" w:cs="Arial"/>
          <w:sz w:val="18"/>
          <w:szCs w:val="18"/>
        </w:rPr>
        <w:t xml:space="preserve"> </w:t>
      </w:r>
      <w:hyperlink r:id="rId9">
        <w:r w:rsidRPr="220CC51D">
          <w:rPr>
            <w:rStyle w:val="Hyperlink"/>
            <w:rFonts w:ascii="Arial" w:hAnsi="Arial" w:cs="Arial"/>
            <w:sz w:val="18"/>
            <w:szCs w:val="18"/>
          </w:rPr>
          <w:t>https://medium.com/@chrisbehnke/each-day-brings-new-opportunities-aa5fe889bf95</w:t>
        </w:r>
      </w:hyperlink>
    </w:p>
    <w:p w14:paraId="154452D9" w14:textId="77777777" w:rsidR="003D74E6" w:rsidRDefault="003D74E6" w:rsidP="003D74E6">
      <w:pPr>
        <w:spacing w:after="0" w:line="240" w:lineRule="auto"/>
        <w:rPr>
          <w:rFonts w:ascii="Arial" w:hAnsi="Arial" w:cs="Arial"/>
          <w:sz w:val="18"/>
          <w:szCs w:val="18"/>
        </w:rPr>
      </w:pPr>
      <w:r w:rsidRPr="220CC51D">
        <w:rPr>
          <w:rFonts w:ascii="Arial" w:hAnsi="Arial" w:cs="Arial"/>
          <w:sz w:val="18"/>
          <w:szCs w:val="18"/>
          <w:vertAlign w:val="superscript"/>
        </w:rPr>
        <w:t xml:space="preserve">3 </w:t>
      </w:r>
      <w:hyperlink r:id="rId10">
        <w:r w:rsidRPr="220CC51D">
          <w:rPr>
            <w:rStyle w:val="Hyperlink"/>
            <w:rFonts w:ascii="Arial" w:hAnsi="Arial" w:cs="Arial"/>
            <w:sz w:val="18"/>
            <w:szCs w:val="18"/>
          </w:rPr>
          <w:t>https://www.goodreads.com/quotes/704011-tomorrow-is-a-new-day-with-no-mistakes-in-it</w:t>
        </w:r>
      </w:hyperlink>
      <w:r w:rsidRPr="220CC51D">
        <w:rPr>
          <w:rFonts w:ascii="Arial" w:hAnsi="Arial" w:cs="Arial"/>
          <w:sz w:val="18"/>
          <w:szCs w:val="18"/>
        </w:rPr>
        <w:t xml:space="preserve"> </w:t>
      </w:r>
    </w:p>
    <w:p w14:paraId="792B0CCB" w14:textId="77777777" w:rsidR="003D74E6" w:rsidRDefault="003D74E6" w:rsidP="003D74E6">
      <w:pPr>
        <w:spacing w:after="0" w:line="240" w:lineRule="auto"/>
        <w:rPr>
          <w:rFonts w:ascii="Arial" w:hAnsi="Arial" w:cs="Arial"/>
          <w:sz w:val="18"/>
          <w:szCs w:val="18"/>
        </w:rPr>
      </w:pPr>
      <w:r w:rsidRPr="220CC51D">
        <w:rPr>
          <w:rFonts w:ascii="Arial" w:hAnsi="Arial" w:cs="Arial"/>
          <w:sz w:val="18"/>
          <w:szCs w:val="18"/>
          <w:vertAlign w:val="superscript"/>
        </w:rPr>
        <w:t xml:space="preserve">4 </w:t>
      </w:r>
      <w:hyperlink r:id="rId11">
        <w:r w:rsidRPr="220CC51D">
          <w:rPr>
            <w:rStyle w:val="Hyperlink"/>
            <w:rFonts w:ascii="Arial" w:hAnsi="Arial" w:cs="Arial"/>
            <w:sz w:val="18"/>
            <w:szCs w:val="18"/>
          </w:rPr>
          <w:t>https://www.forbes.com/sites/brentgleeson/2020/09/09/11-ways-to-turn-adversity-into-opportunity/?sh=dc345969c11c</w:t>
        </w:r>
      </w:hyperlink>
      <w:r w:rsidRPr="220CC51D">
        <w:rPr>
          <w:rFonts w:ascii="Arial" w:hAnsi="Arial" w:cs="Arial"/>
          <w:sz w:val="18"/>
          <w:szCs w:val="18"/>
        </w:rPr>
        <w:t xml:space="preserve"> </w:t>
      </w:r>
    </w:p>
    <w:p w14:paraId="0396D045" w14:textId="77777777" w:rsidR="003D74E6" w:rsidRPr="003B7C64" w:rsidRDefault="003D74E6" w:rsidP="003D74E6">
      <w:pPr>
        <w:spacing w:after="0" w:line="240" w:lineRule="auto"/>
        <w:rPr>
          <w:rFonts w:ascii="Arial" w:hAnsi="Arial" w:cs="Arial"/>
          <w:sz w:val="18"/>
          <w:szCs w:val="18"/>
        </w:rPr>
      </w:pP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2"/>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BD849"/>
    <w:multiLevelType w:val="hybridMultilevel"/>
    <w:tmpl w:val="5C1C2A64"/>
    <w:lvl w:ilvl="0" w:tplc="B400D66C">
      <w:start w:val="1"/>
      <w:numFmt w:val="bullet"/>
      <w:lvlText w:val=""/>
      <w:lvlJc w:val="left"/>
      <w:pPr>
        <w:ind w:left="720" w:hanging="360"/>
      </w:pPr>
      <w:rPr>
        <w:rFonts w:ascii="Symbol" w:hAnsi="Symbol" w:hint="default"/>
      </w:rPr>
    </w:lvl>
    <w:lvl w:ilvl="1" w:tplc="A648AEB4">
      <w:start w:val="1"/>
      <w:numFmt w:val="bullet"/>
      <w:lvlText w:val="o"/>
      <w:lvlJc w:val="left"/>
      <w:pPr>
        <w:ind w:left="1440" w:hanging="360"/>
      </w:pPr>
      <w:rPr>
        <w:rFonts w:ascii="Courier New" w:hAnsi="Courier New" w:hint="default"/>
      </w:rPr>
    </w:lvl>
    <w:lvl w:ilvl="2" w:tplc="E4EE413E">
      <w:start w:val="1"/>
      <w:numFmt w:val="bullet"/>
      <w:lvlText w:val=""/>
      <w:lvlJc w:val="left"/>
      <w:pPr>
        <w:ind w:left="2160" w:hanging="360"/>
      </w:pPr>
      <w:rPr>
        <w:rFonts w:ascii="Wingdings" w:hAnsi="Wingdings" w:hint="default"/>
      </w:rPr>
    </w:lvl>
    <w:lvl w:ilvl="3" w:tplc="74E4CA26">
      <w:start w:val="1"/>
      <w:numFmt w:val="bullet"/>
      <w:lvlText w:val=""/>
      <w:lvlJc w:val="left"/>
      <w:pPr>
        <w:ind w:left="2880" w:hanging="360"/>
      </w:pPr>
      <w:rPr>
        <w:rFonts w:ascii="Symbol" w:hAnsi="Symbol" w:hint="default"/>
      </w:rPr>
    </w:lvl>
    <w:lvl w:ilvl="4" w:tplc="B838CD90">
      <w:start w:val="1"/>
      <w:numFmt w:val="bullet"/>
      <w:lvlText w:val="o"/>
      <w:lvlJc w:val="left"/>
      <w:pPr>
        <w:ind w:left="3600" w:hanging="360"/>
      </w:pPr>
      <w:rPr>
        <w:rFonts w:ascii="Courier New" w:hAnsi="Courier New" w:hint="default"/>
      </w:rPr>
    </w:lvl>
    <w:lvl w:ilvl="5" w:tplc="90D6CE86">
      <w:start w:val="1"/>
      <w:numFmt w:val="bullet"/>
      <w:lvlText w:val=""/>
      <w:lvlJc w:val="left"/>
      <w:pPr>
        <w:ind w:left="4320" w:hanging="360"/>
      </w:pPr>
      <w:rPr>
        <w:rFonts w:ascii="Wingdings" w:hAnsi="Wingdings" w:hint="default"/>
      </w:rPr>
    </w:lvl>
    <w:lvl w:ilvl="6" w:tplc="6EF87B9C">
      <w:start w:val="1"/>
      <w:numFmt w:val="bullet"/>
      <w:lvlText w:val=""/>
      <w:lvlJc w:val="left"/>
      <w:pPr>
        <w:ind w:left="5040" w:hanging="360"/>
      </w:pPr>
      <w:rPr>
        <w:rFonts w:ascii="Symbol" w:hAnsi="Symbol" w:hint="default"/>
      </w:rPr>
    </w:lvl>
    <w:lvl w:ilvl="7" w:tplc="9342B706">
      <w:start w:val="1"/>
      <w:numFmt w:val="bullet"/>
      <w:lvlText w:val="o"/>
      <w:lvlJc w:val="left"/>
      <w:pPr>
        <w:ind w:left="5760" w:hanging="360"/>
      </w:pPr>
      <w:rPr>
        <w:rFonts w:ascii="Courier New" w:hAnsi="Courier New" w:hint="default"/>
      </w:rPr>
    </w:lvl>
    <w:lvl w:ilvl="8" w:tplc="CF1AD39A">
      <w:start w:val="1"/>
      <w:numFmt w:val="bullet"/>
      <w:lvlText w:val=""/>
      <w:lvlJc w:val="left"/>
      <w:pPr>
        <w:ind w:left="6480" w:hanging="360"/>
      </w:pPr>
      <w:rPr>
        <w:rFonts w:ascii="Wingdings" w:hAnsi="Wingdings" w:hint="default"/>
      </w:rPr>
    </w:lvl>
  </w:abstractNum>
  <w:abstractNum w:abstractNumId="29"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784137">
    <w:abstractNumId w:val="14"/>
  </w:num>
  <w:num w:numId="2" w16cid:durableId="2017728757">
    <w:abstractNumId w:val="17"/>
  </w:num>
  <w:num w:numId="3" w16cid:durableId="954823477">
    <w:abstractNumId w:val="21"/>
  </w:num>
  <w:num w:numId="4" w16cid:durableId="1578978256">
    <w:abstractNumId w:val="22"/>
  </w:num>
  <w:num w:numId="5" w16cid:durableId="233515095">
    <w:abstractNumId w:val="5"/>
  </w:num>
  <w:num w:numId="6" w16cid:durableId="619339711">
    <w:abstractNumId w:val="31"/>
  </w:num>
  <w:num w:numId="7" w16cid:durableId="613370190">
    <w:abstractNumId w:val="13"/>
  </w:num>
  <w:num w:numId="8" w16cid:durableId="1984777272">
    <w:abstractNumId w:val="25"/>
  </w:num>
  <w:num w:numId="9" w16cid:durableId="1321890243">
    <w:abstractNumId w:val="32"/>
  </w:num>
  <w:num w:numId="10" w16cid:durableId="2000231268">
    <w:abstractNumId w:val="15"/>
  </w:num>
  <w:num w:numId="11" w16cid:durableId="232325898">
    <w:abstractNumId w:val="26"/>
  </w:num>
  <w:num w:numId="12" w16cid:durableId="2072801786">
    <w:abstractNumId w:val="10"/>
  </w:num>
  <w:num w:numId="13" w16cid:durableId="1471556725">
    <w:abstractNumId w:val="0"/>
  </w:num>
  <w:num w:numId="14" w16cid:durableId="540945179">
    <w:abstractNumId w:val="27"/>
  </w:num>
  <w:num w:numId="15" w16cid:durableId="1091660743">
    <w:abstractNumId w:val="9"/>
  </w:num>
  <w:num w:numId="16" w16cid:durableId="1023436395">
    <w:abstractNumId w:val="4"/>
  </w:num>
  <w:num w:numId="17" w16cid:durableId="2001930119">
    <w:abstractNumId w:val="33"/>
  </w:num>
  <w:num w:numId="18" w16cid:durableId="379208801">
    <w:abstractNumId w:val="29"/>
  </w:num>
  <w:num w:numId="19" w16cid:durableId="2095735600">
    <w:abstractNumId w:val="16"/>
  </w:num>
  <w:num w:numId="20" w16cid:durableId="460806466">
    <w:abstractNumId w:val="12"/>
  </w:num>
  <w:num w:numId="21" w16cid:durableId="384065873">
    <w:abstractNumId w:val="2"/>
  </w:num>
  <w:num w:numId="22" w16cid:durableId="146822598">
    <w:abstractNumId w:val="3"/>
  </w:num>
  <w:num w:numId="23" w16cid:durableId="224877928">
    <w:abstractNumId w:val="7"/>
  </w:num>
  <w:num w:numId="24" w16cid:durableId="196237119">
    <w:abstractNumId w:val="11"/>
  </w:num>
  <w:num w:numId="25" w16cid:durableId="1624847569">
    <w:abstractNumId w:val="23"/>
  </w:num>
  <w:num w:numId="26" w16cid:durableId="1867865390">
    <w:abstractNumId w:val="30"/>
  </w:num>
  <w:num w:numId="27" w16cid:durableId="2126465767">
    <w:abstractNumId w:val="24"/>
  </w:num>
  <w:num w:numId="28" w16cid:durableId="297028334">
    <w:abstractNumId w:val="20"/>
  </w:num>
  <w:num w:numId="29" w16cid:durableId="589123950">
    <w:abstractNumId w:val="8"/>
  </w:num>
  <w:num w:numId="30" w16cid:durableId="836190045">
    <w:abstractNumId w:val="1"/>
  </w:num>
  <w:num w:numId="31" w16cid:durableId="700128767">
    <w:abstractNumId w:val="19"/>
  </w:num>
  <w:num w:numId="32" w16cid:durableId="343629155">
    <w:abstractNumId w:val="6"/>
  </w:num>
  <w:num w:numId="33" w16cid:durableId="56250912">
    <w:abstractNumId w:val="18"/>
  </w:num>
  <w:num w:numId="34" w16cid:durableId="17734363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D74E6"/>
    <w:rsid w:val="003F03A3"/>
    <w:rsid w:val="00573D3A"/>
    <w:rsid w:val="005E0037"/>
    <w:rsid w:val="005F1A60"/>
    <w:rsid w:val="00620BCF"/>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32244"/>
    <w:rsid w:val="0095673F"/>
    <w:rsid w:val="009A0723"/>
    <w:rsid w:val="009A62B0"/>
    <w:rsid w:val="009C51E1"/>
    <w:rsid w:val="00A07DB7"/>
    <w:rsid w:val="00A62B4D"/>
    <w:rsid w:val="00A8609A"/>
    <w:rsid w:val="00AF26E7"/>
    <w:rsid w:val="00B418B9"/>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holidays/g4069/new-years-qu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brentgleeson/2020/09/09/11-ways-to-turn-adversity-into-opportunity/?sh=dc345969c11c" TargetMode="External"/><Relationship Id="rId5" Type="http://schemas.openxmlformats.org/officeDocument/2006/relationships/webSettings" Target="webSettings.xml"/><Relationship Id="rId10" Type="http://schemas.openxmlformats.org/officeDocument/2006/relationships/hyperlink" Target="https://www.goodreads.com/quotes/704011-tomorrow-is-a-new-day-with-no-mistakes-in-it" TargetMode="External"/><Relationship Id="rId4" Type="http://schemas.openxmlformats.org/officeDocument/2006/relationships/settings" Target="settings.xml"/><Relationship Id="rId9" Type="http://schemas.openxmlformats.org/officeDocument/2006/relationships/hyperlink" Target="https://medium.com/@chrisbehnke/each-day-brings-new-opportunities-aa5fe889bf9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5</cp:revision>
  <dcterms:created xsi:type="dcterms:W3CDTF">2023-10-13T17:08:00Z</dcterms:created>
  <dcterms:modified xsi:type="dcterms:W3CDTF">2023-10-13T17:18:00Z</dcterms:modified>
</cp:coreProperties>
</file>