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E1F49" w14:textId="573194E1" w:rsidR="002A508A" w:rsidRPr="00164681" w:rsidRDefault="004160B8" w:rsidP="00077ADB">
      <w:pPr>
        <w:spacing w:after="0" w:line="720" w:lineRule="exact"/>
        <w:rPr>
          <w:rFonts w:ascii="Arial" w:hAnsi="Arial" w:cs="Arial"/>
          <w:b/>
          <w:color w:val="0D304A"/>
          <w:sz w:val="72"/>
          <w:szCs w:val="72"/>
        </w:rPr>
      </w:pPr>
      <w:r>
        <w:rPr>
          <w:rFonts w:ascii="Arial" w:hAnsi="Arial" w:cs="Arial"/>
          <w:b/>
          <w:color w:val="0D304A"/>
          <w:sz w:val="72"/>
          <w:szCs w:val="72"/>
        </w:rPr>
        <w:t>Ghostwritten Article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077ADB" w:rsidRPr="00077ADB">
        <w:rPr>
          <w:rFonts w:ascii="Arial" w:hAnsi="Arial" w:cs="Arial"/>
          <w:b/>
          <w:color w:val="0D304A"/>
          <w:sz w:val="72"/>
          <w:szCs w:val="72"/>
        </w:rPr>
        <w:t>How to Prepare for a Changing Bond Market</w:t>
      </w:r>
    </w:p>
    <w:p w14:paraId="2CCF3FC5" w14:textId="3981E07E" w:rsidR="00620BCF" w:rsidRPr="00312AAE" w:rsidRDefault="004160B8" w:rsidP="00077ADB">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ghostwritten articles for compliance review and approval before using.  </w:t>
      </w:r>
    </w:p>
    <w:p w14:paraId="21357940" w14:textId="77777777" w:rsidR="00F81BE2" w:rsidRDefault="00F81BE2" w:rsidP="00077ADB">
      <w:pPr>
        <w:spacing w:after="0" w:line="240" w:lineRule="auto"/>
        <w:rPr>
          <w:rFonts w:ascii="Arial" w:eastAsia="Times New Roman" w:hAnsi="Arial" w:cs="Arial"/>
          <w:b/>
          <w:bCs/>
          <w:color w:val="434343"/>
          <w:sz w:val="28"/>
          <w:szCs w:val="28"/>
        </w:rPr>
      </w:pPr>
    </w:p>
    <w:p w14:paraId="73D1C37D" w14:textId="77777777" w:rsidR="00077ADB" w:rsidRDefault="00077ADB" w:rsidP="00077ADB">
      <w:pPr>
        <w:spacing w:after="0" w:line="240" w:lineRule="auto"/>
        <w:rPr>
          <w:rFonts w:ascii="Arial" w:eastAsia="Times New Roman" w:hAnsi="Arial" w:cs="Arial"/>
          <w:b/>
          <w:bCs/>
          <w:color w:val="434343"/>
          <w:sz w:val="28"/>
          <w:szCs w:val="28"/>
        </w:rPr>
      </w:pPr>
      <w:r w:rsidRPr="00077ADB">
        <w:rPr>
          <w:rFonts w:ascii="Arial" w:eastAsia="Times New Roman" w:hAnsi="Arial" w:cs="Arial"/>
          <w:b/>
          <w:bCs/>
          <w:color w:val="434343"/>
          <w:sz w:val="28"/>
          <w:szCs w:val="28"/>
        </w:rPr>
        <w:t>How to Prepare for a Changing Bond Market</w:t>
      </w:r>
    </w:p>
    <w:p w14:paraId="0D6FE576" w14:textId="77777777" w:rsidR="009205F3" w:rsidRPr="009205F3" w:rsidRDefault="009205F3" w:rsidP="00077ADB">
      <w:pPr>
        <w:spacing w:after="0" w:line="240" w:lineRule="auto"/>
        <w:rPr>
          <w:rFonts w:ascii="Times New Roman" w:eastAsia="Times New Roman" w:hAnsi="Times New Roman" w:cs="Times New Roman"/>
          <w:color w:val="35DB86"/>
          <w:sz w:val="24"/>
          <w:szCs w:val="24"/>
        </w:rPr>
      </w:pPr>
      <w:bookmarkStart w:id="0" w:name="_GoBack"/>
      <w:bookmarkEnd w:id="0"/>
    </w:p>
    <w:p w14:paraId="05888AA1" w14:textId="77777777" w:rsidR="00077ADB" w:rsidRDefault="00077ADB" w:rsidP="00077ADB">
      <w:pPr>
        <w:spacing w:after="0" w:line="276" w:lineRule="auto"/>
        <w:rPr>
          <w:rFonts w:ascii="Arial" w:hAnsi="Arial" w:cs="Arial"/>
          <w:iCs/>
        </w:rPr>
      </w:pPr>
      <w:r>
        <w:rPr>
          <w:rFonts w:ascii="Arial" w:hAnsi="Arial" w:cs="Arial"/>
          <w:iCs/>
        </w:rPr>
        <w:t>The words ‘bear market’ have been bandied about a lot lately. When you read or hear them, remember to respond the same way you would if you saw an actual bear in the woods – by staying calm and keeping your wits about you. A changing bond market environment creates challenges for investors and financial advisors, but it also creates opportunities.</w:t>
      </w:r>
    </w:p>
    <w:p w14:paraId="623AF118" w14:textId="77777777" w:rsidR="00077ADB" w:rsidRDefault="00077ADB" w:rsidP="00077ADB">
      <w:pPr>
        <w:spacing w:after="0" w:line="276" w:lineRule="auto"/>
        <w:rPr>
          <w:rFonts w:ascii="Arial" w:hAnsi="Arial" w:cs="Arial"/>
          <w:iCs/>
        </w:rPr>
      </w:pPr>
    </w:p>
    <w:p w14:paraId="0A3FFED0" w14:textId="77777777" w:rsidR="00077ADB" w:rsidRDefault="00077ADB" w:rsidP="00077ADB">
      <w:pPr>
        <w:spacing w:after="0" w:line="276" w:lineRule="auto"/>
        <w:rPr>
          <w:rFonts w:ascii="Arial" w:hAnsi="Arial" w:cs="Arial"/>
          <w:b/>
          <w:iCs/>
        </w:rPr>
      </w:pPr>
      <w:r>
        <w:rPr>
          <w:rFonts w:ascii="Arial" w:hAnsi="Arial" w:cs="Arial"/>
          <w:b/>
          <w:iCs/>
        </w:rPr>
        <w:t>Bonds and a bear market</w:t>
      </w:r>
    </w:p>
    <w:p w14:paraId="541F23EA" w14:textId="77777777" w:rsidR="00077ADB" w:rsidRDefault="00077ADB" w:rsidP="00077ADB">
      <w:pPr>
        <w:spacing w:after="0" w:line="276" w:lineRule="auto"/>
        <w:rPr>
          <w:rFonts w:ascii="Arial" w:hAnsi="Arial" w:cs="Arial"/>
          <w:iCs/>
        </w:rPr>
      </w:pPr>
      <w:r>
        <w:rPr>
          <w:rFonts w:ascii="Arial" w:hAnsi="Arial" w:cs="Arial"/>
          <w:iCs/>
        </w:rPr>
        <w:t>Many people believe bonds are risk free. That’s not the case. Bonds expose investors to several kinds of risk. These include:</w:t>
      </w:r>
    </w:p>
    <w:p w14:paraId="49B1A43F" w14:textId="77777777" w:rsidR="00077ADB" w:rsidRDefault="00077ADB" w:rsidP="00077ADB">
      <w:pPr>
        <w:spacing w:after="0" w:line="276" w:lineRule="auto"/>
        <w:rPr>
          <w:rFonts w:ascii="Arial" w:hAnsi="Arial" w:cs="Arial"/>
          <w:iCs/>
        </w:rPr>
      </w:pPr>
    </w:p>
    <w:p w14:paraId="3EF6CF5E" w14:textId="77777777" w:rsidR="00077ADB" w:rsidRDefault="00077ADB" w:rsidP="5F7761E3">
      <w:pPr>
        <w:pStyle w:val="ListParagraph"/>
        <w:numPr>
          <w:ilvl w:val="0"/>
          <w:numId w:val="16"/>
        </w:numPr>
        <w:spacing w:after="0" w:line="276" w:lineRule="auto"/>
        <w:rPr>
          <w:rFonts w:ascii="Arial" w:hAnsi="Arial" w:cs="Arial"/>
        </w:rPr>
      </w:pPr>
      <w:r w:rsidRPr="5F7761E3">
        <w:rPr>
          <w:rFonts w:ascii="Arial" w:hAnsi="Arial" w:cs="Arial"/>
          <w:b/>
          <w:bCs/>
        </w:rPr>
        <w:t>Inflation risk</w:t>
      </w:r>
      <w:r w:rsidRPr="5F7761E3">
        <w:rPr>
          <w:rFonts w:ascii="Arial" w:hAnsi="Arial" w:cs="Arial"/>
        </w:rPr>
        <w:t>, which is the possibility your savings may grow more slowly than inflation increases.</w:t>
      </w:r>
      <w:r w:rsidRPr="5F7761E3">
        <w:rPr>
          <w:rFonts w:ascii="Arial" w:hAnsi="Arial" w:cs="Arial"/>
          <w:vertAlign w:val="superscript"/>
        </w:rPr>
        <w:t>1</w:t>
      </w:r>
    </w:p>
    <w:p w14:paraId="1D7E11C2" w14:textId="77777777" w:rsidR="00077ADB" w:rsidRDefault="00077ADB" w:rsidP="5F7761E3">
      <w:pPr>
        <w:pStyle w:val="ListParagraph"/>
        <w:numPr>
          <w:ilvl w:val="0"/>
          <w:numId w:val="16"/>
        </w:numPr>
        <w:spacing w:after="0" w:line="276" w:lineRule="auto"/>
        <w:rPr>
          <w:rFonts w:ascii="Arial" w:hAnsi="Arial" w:cs="Arial"/>
        </w:rPr>
      </w:pPr>
      <w:r w:rsidRPr="5F7761E3">
        <w:rPr>
          <w:rFonts w:ascii="Arial" w:hAnsi="Arial" w:cs="Arial"/>
          <w:b/>
          <w:bCs/>
        </w:rPr>
        <w:t>Credit risk</w:t>
      </w:r>
      <w:r w:rsidRPr="5F7761E3">
        <w:rPr>
          <w:rFonts w:ascii="Arial" w:hAnsi="Arial" w:cs="Arial"/>
        </w:rPr>
        <w:t>, which is the possibility the company issuing a bond will fail to make interest payments and/or repay principal in a timely way.</w:t>
      </w:r>
      <w:r w:rsidRPr="5F7761E3">
        <w:rPr>
          <w:rFonts w:ascii="Arial" w:hAnsi="Arial" w:cs="Arial"/>
          <w:vertAlign w:val="superscript"/>
        </w:rPr>
        <w:t>2</w:t>
      </w:r>
    </w:p>
    <w:p w14:paraId="087BF355" w14:textId="77777777" w:rsidR="00077ADB" w:rsidRDefault="00077ADB" w:rsidP="5F7761E3">
      <w:pPr>
        <w:pStyle w:val="ListParagraph"/>
        <w:numPr>
          <w:ilvl w:val="0"/>
          <w:numId w:val="16"/>
        </w:numPr>
        <w:spacing w:after="0" w:line="276" w:lineRule="auto"/>
        <w:rPr>
          <w:rFonts w:ascii="Arial" w:hAnsi="Arial" w:cs="Arial"/>
        </w:rPr>
      </w:pPr>
      <w:r w:rsidRPr="5F7761E3">
        <w:rPr>
          <w:rFonts w:ascii="Arial" w:hAnsi="Arial" w:cs="Arial"/>
          <w:b/>
          <w:bCs/>
        </w:rPr>
        <w:t>Interest rate risk</w:t>
      </w:r>
      <w:r w:rsidRPr="5F7761E3">
        <w:rPr>
          <w:rFonts w:ascii="Arial" w:hAnsi="Arial" w:cs="Arial"/>
        </w:rPr>
        <w:t>, which is the possibility the value of bond holdings will fall as interest rates rise.</w:t>
      </w:r>
      <w:r w:rsidRPr="5F7761E3">
        <w:rPr>
          <w:rFonts w:ascii="Arial" w:hAnsi="Arial" w:cs="Arial"/>
          <w:vertAlign w:val="superscript"/>
        </w:rPr>
        <w:t>3</w:t>
      </w:r>
    </w:p>
    <w:p w14:paraId="7B824926" w14:textId="02F07093" w:rsidR="117A6D54" w:rsidRDefault="117A6D54" w:rsidP="5F7761E3">
      <w:pPr>
        <w:pStyle w:val="ListParagraph"/>
        <w:numPr>
          <w:ilvl w:val="0"/>
          <w:numId w:val="16"/>
        </w:numPr>
        <w:spacing w:after="0" w:line="276" w:lineRule="auto"/>
        <w:rPr>
          <w:rFonts w:eastAsiaTheme="minorEastAsia"/>
          <w:vertAlign w:val="superscript"/>
        </w:rPr>
      </w:pPr>
      <w:r w:rsidRPr="5F7761E3">
        <w:rPr>
          <w:rFonts w:ascii="Arial" w:hAnsi="Arial" w:cs="Arial"/>
          <w:b/>
          <w:bCs/>
        </w:rPr>
        <w:t xml:space="preserve">Liquidity risk, </w:t>
      </w:r>
      <w:r w:rsidR="2EC3DBBF" w:rsidRPr="5F7761E3">
        <w:rPr>
          <w:rFonts w:ascii="Arial" w:hAnsi="Arial" w:cs="Arial"/>
        </w:rPr>
        <w:t>which</w:t>
      </w:r>
      <w:r w:rsidRPr="5F7761E3">
        <w:rPr>
          <w:rFonts w:ascii="Arial" w:hAnsi="Arial" w:cs="Arial"/>
        </w:rPr>
        <w:t xml:space="preserve"> is the risk that an investor might not be able to sell the bond quickly at an efficient price. Bonds can be sold, but this could </w:t>
      </w:r>
      <w:r w:rsidR="57B7A005" w:rsidRPr="5F7761E3">
        <w:rPr>
          <w:rFonts w:ascii="Arial" w:hAnsi="Arial" w:cs="Arial"/>
        </w:rPr>
        <w:t>subject the owner to a loss.</w:t>
      </w:r>
      <w:r w:rsidR="4571EC4A" w:rsidRPr="5F7761E3">
        <w:rPr>
          <w:rFonts w:ascii="Arial" w:hAnsi="Arial" w:cs="Arial"/>
          <w:vertAlign w:val="superscript"/>
        </w:rPr>
        <w:t xml:space="preserve"> 12</w:t>
      </w:r>
      <w:r w:rsidR="57B7A005" w:rsidRPr="5F7761E3">
        <w:rPr>
          <w:rFonts w:ascii="Arial" w:hAnsi="Arial" w:cs="Arial"/>
        </w:rPr>
        <w:t xml:space="preserve"> </w:t>
      </w:r>
    </w:p>
    <w:p w14:paraId="1632ABAB" w14:textId="77777777" w:rsidR="00077ADB" w:rsidRDefault="00077ADB" w:rsidP="00077ADB">
      <w:pPr>
        <w:spacing w:after="0" w:line="276" w:lineRule="auto"/>
        <w:rPr>
          <w:rFonts w:ascii="Arial" w:hAnsi="Arial" w:cs="Arial"/>
          <w:iCs/>
        </w:rPr>
      </w:pPr>
    </w:p>
    <w:p w14:paraId="30F083E8" w14:textId="77777777" w:rsidR="00077ADB" w:rsidRDefault="00077ADB" w:rsidP="00077ADB">
      <w:pPr>
        <w:spacing w:after="0" w:line="276" w:lineRule="auto"/>
        <w:rPr>
          <w:rFonts w:ascii="Arial" w:hAnsi="Arial" w:cs="Arial"/>
          <w:i/>
          <w:iCs/>
        </w:rPr>
      </w:pPr>
      <w:r>
        <w:rPr>
          <w:rFonts w:ascii="Arial" w:hAnsi="Arial" w:cs="Arial"/>
          <w:iCs/>
        </w:rPr>
        <w:t xml:space="preserve">Interest rate risk is associated with a bear market in bonds. </w:t>
      </w:r>
      <w:r>
        <w:rPr>
          <w:rFonts w:ascii="Arial" w:hAnsi="Arial" w:cs="Arial"/>
          <w:i/>
          <w:iCs/>
        </w:rPr>
        <w:t>Barron’s</w:t>
      </w:r>
      <w:r>
        <w:rPr>
          <w:rFonts w:ascii="Arial" w:hAnsi="Arial" w:cs="Arial"/>
          <w:iCs/>
        </w:rPr>
        <w:t xml:space="preserve"> explained it like this</w:t>
      </w:r>
      <w:proofErr w:type="gramStart"/>
      <w:r>
        <w:rPr>
          <w:rFonts w:ascii="Arial" w:hAnsi="Arial" w:cs="Arial"/>
          <w:iCs/>
        </w:rPr>
        <w:t>:</w:t>
      </w:r>
      <w:r>
        <w:rPr>
          <w:rFonts w:ascii="Arial" w:hAnsi="Arial" w:cs="Arial"/>
          <w:iCs/>
          <w:vertAlign w:val="superscript"/>
        </w:rPr>
        <w:t>4</w:t>
      </w:r>
      <w:proofErr w:type="gramEnd"/>
    </w:p>
    <w:p w14:paraId="16012B62" w14:textId="77777777" w:rsidR="00077ADB" w:rsidRDefault="00077ADB" w:rsidP="00077ADB">
      <w:pPr>
        <w:spacing w:after="0" w:line="276" w:lineRule="auto"/>
        <w:rPr>
          <w:rFonts w:ascii="Arial" w:hAnsi="Arial" w:cs="Arial"/>
          <w:iCs/>
        </w:rPr>
      </w:pPr>
    </w:p>
    <w:p w14:paraId="45EA08BF" w14:textId="77777777" w:rsidR="00077ADB" w:rsidRDefault="00077ADB" w:rsidP="00077ADB">
      <w:pPr>
        <w:spacing w:after="0" w:line="276" w:lineRule="auto"/>
        <w:ind w:left="720" w:right="720"/>
        <w:rPr>
          <w:rFonts w:ascii="Arial" w:hAnsi="Arial" w:cs="Arial"/>
          <w:iCs/>
        </w:rPr>
      </w:pPr>
      <w:r>
        <w:rPr>
          <w:rFonts w:ascii="Arial" w:hAnsi="Arial" w:cs="Arial"/>
          <w:iCs/>
        </w:rPr>
        <w:t>“Unlike the stock market, where a 20 percent drop in prices is considered the marker of a bear market, there is no consensus about what constitutes a bear market in bonds…To distinguish between temporary spikes and actual bear markets, we think it’s reasonable to define a bear market in bonds as a sustained decline in prices (or rise in yields, which move inversely to prices) during a period of tighter monetary policy from the Federal Reserve.”</w:t>
      </w:r>
    </w:p>
    <w:p w14:paraId="3E5E5F6E" w14:textId="77777777" w:rsidR="00077ADB" w:rsidRDefault="00077ADB" w:rsidP="00077ADB">
      <w:pPr>
        <w:spacing w:after="0" w:line="276" w:lineRule="auto"/>
        <w:ind w:left="720" w:right="720"/>
        <w:rPr>
          <w:rFonts w:ascii="Arial" w:hAnsi="Arial" w:cs="Arial"/>
          <w:iCs/>
        </w:rPr>
      </w:pPr>
    </w:p>
    <w:p w14:paraId="457FC2D9" w14:textId="3A1FA05E" w:rsidR="00077ADB" w:rsidRDefault="00077ADB" w:rsidP="5F7761E3">
      <w:pPr>
        <w:spacing w:after="0" w:line="276" w:lineRule="auto"/>
        <w:ind w:right="720"/>
        <w:rPr>
          <w:rFonts w:ascii="Arial" w:hAnsi="Arial" w:cs="Arial"/>
        </w:rPr>
      </w:pPr>
      <w:r w:rsidRPr="5F7761E3">
        <w:rPr>
          <w:rFonts w:ascii="Arial" w:hAnsi="Arial" w:cs="Arial"/>
        </w:rPr>
        <w:t>One reason the definition of a bear market in bonds is poorly specified is because bond rates have trended lower for about 36 years. Since September 1981, when 10-year Treasury bonds reached 15.8 percent, we’ve been in a bond bull market.</w:t>
      </w:r>
      <w:r w:rsidRPr="5F7761E3">
        <w:rPr>
          <w:rFonts w:ascii="Arial" w:hAnsi="Arial" w:cs="Arial"/>
          <w:vertAlign w:val="superscript"/>
        </w:rPr>
        <w:t>4, 5</w:t>
      </w:r>
      <w:r w:rsidR="391B088F" w:rsidRPr="5F7761E3">
        <w:rPr>
          <w:rFonts w:ascii="Arial" w:hAnsi="Arial" w:cs="Arial"/>
          <w:vertAlign w:val="superscript"/>
        </w:rPr>
        <w:t xml:space="preserve"> </w:t>
      </w:r>
      <w:proofErr w:type="gramStart"/>
      <w:r w:rsidR="391B088F" w:rsidRPr="5F7761E3">
        <w:rPr>
          <w:rFonts w:ascii="Arial" w:hAnsi="Arial" w:cs="Arial"/>
        </w:rPr>
        <w:t>In</w:t>
      </w:r>
      <w:proofErr w:type="gramEnd"/>
      <w:r w:rsidR="391B088F" w:rsidRPr="5F7761E3">
        <w:rPr>
          <w:rFonts w:ascii="Arial" w:hAnsi="Arial" w:cs="Arial"/>
        </w:rPr>
        <w:t xml:space="preserve"> 2020, short term Treasury bill </w:t>
      </w:r>
      <w:r w:rsidR="03583E01" w:rsidRPr="5F7761E3">
        <w:rPr>
          <w:rFonts w:ascii="Arial" w:hAnsi="Arial" w:cs="Arial"/>
        </w:rPr>
        <w:t>yields</w:t>
      </w:r>
      <w:r w:rsidR="391B088F" w:rsidRPr="5F7761E3">
        <w:rPr>
          <w:rFonts w:ascii="Arial" w:hAnsi="Arial" w:cs="Arial"/>
        </w:rPr>
        <w:t xml:space="preserve"> hit </w:t>
      </w:r>
      <w:r w:rsidR="3146FF7F" w:rsidRPr="5F7761E3">
        <w:rPr>
          <w:rFonts w:ascii="Arial" w:hAnsi="Arial" w:cs="Arial"/>
        </w:rPr>
        <w:t>all-time</w:t>
      </w:r>
      <w:r w:rsidR="391B088F" w:rsidRPr="5F7761E3">
        <w:rPr>
          <w:rFonts w:ascii="Arial" w:hAnsi="Arial" w:cs="Arial"/>
        </w:rPr>
        <w:t xml:space="preserve"> lows, with both the 1-month and 3-month </w:t>
      </w:r>
      <w:r w:rsidR="69E82A33" w:rsidRPr="5F7761E3">
        <w:rPr>
          <w:rFonts w:ascii="Arial" w:hAnsi="Arial" w:cs="Arial"/>
        </w:rPr>
        <w:t>Treasury bill yields going below zero.</w:t>
      </w:r>
      <w:r w:rsidR="1094D82A" w:rsidRPr="5F7761E3">
        <w:rPr>
          <w:rFonts w:ascii="Arial" w:hAnsi="Arial" w:cs="Arial"/>
          <w:vertAlign w:val="superscript"/>
        </w:rPr>
        <w:t>13</w:t>
      </w:r>
    </w:p>
    <w:p w14:paraId="5162C809" w14:textId="77777777" w:rsidR="00077ADB" w:rsidRDefault="00077ADB" w:rsidP="5F7761E3">
      <w:pPr>
        <w:spacing w:after="0" w:line="276" w:lineRule="auto"/>
        <w:ind w:right="720"/>
        <w:rPr>
          <w:rFonts w:ascii="Arial" w:hAnsi="Arial" w:cs="Arial"/>
        </w:rPr>
      </w:pPr>
    </w:p>
    <w:p w14:paraId="43347F03" w14:textId="24F89C85" w:rsidR="2BEFB221" w:rsidRDefault="2BEFB221" w:rsidP="5F7761E3">
      <w:pPr>
        <w:spacing w:after="0" w:line="276" w:lineRule="auto"/>
        <w:ind w:right="720"/>
        <w:rPr>
          <w:rFonts w:ascii="Arial" w:eastAsia="Arial" w:hAnsi="Arial" w:cs="Arial"/>
        </w:rPr>
      </w:pPr>
      <w:r w:rsidRPr="5F7761E3">
        <w:rPr>
          <w:rFonts w:ascii="Arial" w:hAnsi="Arial" w:cs="Arial"/>
        </w:rPr>
        <w:t>Negative interest rates present several challenges for both savers and for retirees. For years academics and researchers were unsure if negative rates could happen naturally in the marketplace because it would presumably be better to do nothing than to purchase a negative rate bond. T</w:t>
      </w:r>
      <w:r w:rsidR="78149EAD" w:rsidRPr="5F7761E3">
        <w:rPr>
          <w:rFonts w:ascii="Arial" w:hAnsi="Arial" w:cs="Arial"/>
        </w:rPr>
        <w:t xml:space="preserve">he early 2020 covid-19 reactions in the stock market and bond market also put a lot of liquidity pressure on bond funds. </w:t>
      </w:r>
      <w:r w:rsidR="1FFBE27E" w:rsidRPr="5F7761E3">
        <w:rPr>
          <w:rFonts w:ascii="Arial" w:hAnsi="Arial" w:cs="Arial"/>
        </w:rPr>
        <w:t>Certain bond funds saw substantial losses and drops in the first few months of 2020, putting pressure on savers and retirees that viewed these as their safe investments.</w:t>
      </w:r>
      <w:r w:rsidR="5E74D1AA" w:rsidRPr="5F7761E3">
        <w:rPr>
          <w:rFonts w:ascii="Arial" w:hAnsi="Arial" w:cs="Arial"/>
          <w:vertAlign w:val="superscript"/>
        </w:rPr>
        <w:t xml:space="preserve"> 13</w:t>
      </w:r>
    </w:p>
    <w:p w14:paraId="35D594E0" w14:textId="715C6952" w:rsidR="5F7761E3" w:rsidRDefault="5F7761E3" w:rsidP="5F7761E3">
      <w:pPr>
        <w:spacing w:after="0" w:line="276" w:lineRule="auto"/>
        <w:ind w:right="720"/>
        <w:rPr>
          <w:rFonts w:ascii="Arial" w:hAnsi="Arial" w:cs="Arial"/>
        </w:rPr>
      </w:pPr>
    </w:p>
    <w:p w14:paraId="55A0ECDE" w14:textId="35D16596" w:rsidR="00077ADB" w:rsidRDefault="5E74D1AA" w:rsidP="5F7761E3">
      <w:pPr>
        <w:spacing w:after="0" w:line="276" w:lineRule="auto"/>
        <w:ind w:right="720"/>
        <w:rPr>
          <w:rFonts w:ascii="Arial" w:hAnsi="Arial" w:cs="Arial"/>
        </w:rPr>
      </w:pPr>
      <w:r w:rsidRPr="5F7761E3">
        <w:rPr>
          <w:rFonts w:ascii="Arial" w:hAnsi="Arial" w:cs="Arial"/>
        </w:rPr>
        <w:t>Bond rates aren’t static, they fluctuate.</w:t>
      </w:r>
      <w:r w:rsidR="00077ADB" w:rsidRPr="5F7761E3">
        <w:rPr>
          <w:rFonts w:ascii="Arial" w:hAnsi="Arial" w:cs="Arial"/>
        </w:rPr>
        <w:t xml:space="preserve"> </w:t>
      </w:r>
      <w:r w:rsidR="00077ADB" w:rsidRPr="5F7761E3">
        <w:rPr>
          <w:rFonts w:ascii="Arial" w:hAnsi="Arial" w:cs="Arial"/>
          <w:i/>
          <w:iCs/>
        </w:rPr>
        <w:t>Barron’s</w:t>
      </w:r>
      <w:r w:rsidR="00077ADB" w:rsidRPr="5F7761E3">
        <w:rPr>
          <w:rFonts w:ascii="Arial" w:hAnsi="Arial" w:cs="Arial"/>
        </w:rPr>
        <w:t xml:space="preserve"> reported, at least nine times during the bond bull market, rates increased significantly. In other words, there were times when rates rose and bonds lost value during the bull market in bonds, just as there were times during a bull market in stocks when values fell before rising again.</w:t>
      </w:r>
      <w:r w:rsidR="00077ADB" w:rsidRPr="5F7761E3">
        <w:rPr>
          <w:rFonts w:ascii="Arial" w:hAnsi="Arial" w:cs="Arial"/>
          <w:vertAlign w:val="superscript"/>
        </w:rPr>
        <w:t>4</w:t>
      </w:r>
    </w:p>
    <w:p w14:paraId="19ABD432" w14:textId="77777777" w:rsidR="00077ADB" w:rsidRDefault="00077ADB" w:rsidP="00077ADB">
      <w:pPr>
        <w:spacing w:after="0" w:line="276" w:lineRule="auto"/>
        <w:rPr>
          <w:rFonts w:ascii="Arial" w:hAnsi="Arial" w:cs="Arial"/>
          <w:iCs/>
        </w:rPr>
      </w:pPr>
    </w:p>
    <w:p w14:paraId="6FF849F1" w14:textId="77777777" w:rsidR="00077ADB" w:rsidRDefault="00077ADB" w:rsidP="00077ADB">
      <w:pPr>
        <w:spacing w:after="0" w:line="276" w:lineRule="auto"/>
        <w:rPr>
          <w:rFonts w:ascii="Arial" w:hAnsi="Arial" w:cs="Arial"/>
          <w:iCs/>
        </w:rPr>
      </w:pPr>
      <w:r>
        <w:rPr>
          <w:rFonts w:ascii="Arial" w:hAnsi="Arial" w:cs="Arial"/>
          <w:iCs/>
        </w:rPr>
        <w:t>Bonds and stocks are very different types of investments, though. When investors buy stocks, they become owners of companies. If a company does well, its shares may gain value. If a company performs poorly, its shares may lose value.</w:t>
      </w:r>
    </w:p>
    <w:p w14:paraId="2339A334" w14:textId="77777777" w:rsidR="00077ADB" w:rsidRDefault="00077ADB" w:rsidP="00077ADB">
      <w:pPr>
        <w:spacing w:after="0" w:line="276" w:lineRule="auto"/>
        <w:rPr>
          <w:rFonts w:ascii="Arial" w:hAnsi="Arial" w:cs="Arial"/>
          <w:iCs/>
        </w:rPr>
      </w:pPr>
    </w:p>
    <w:p w14:paraId="7536D715" w14:textId="77777777" w:rsidR="00077ADB" w:rsidRDefault="00077ADB" w:rsidP="00077ADB">
      <w:pPr>
        <w:spacing w:after="0" w:line="276" w:lineRule="auto"/>
        <w:rPr>
          <w:rFonts w:ascii="Arial" w:hAnsi="Arial" w:cs="Arial"/>
          <w:iCs/>
        </w:rPr>
      </w:pPr>
      <w:r>
        <w:rPr>
          <w:rFonts w:ascii="Arial" w:hAnsi="Arial" w:cs="Arial"/>
          <w:iCs/>
        </w:rPr>
        <w:t xml:space="preserve">When investors put money in bonds, they are lending that money to a government, a company, or another entity. The investor expects to receive timely interest payments and a return of principal when the bond matures. </w:t>
      </w:r>
    </w:p>
    <w:p w14:paraId="53E62E9F" w14:textId="77777777" w:rsidR="00077ADB" w:rsidRDefault="00077ADB" w:rsidP="00077ADB">
      <w:pPr>
        <w:spacing w:after="0" w:line="276" w:lineRule="auto"/>
        <w:rPr>
          <w:rFonts w:ascii="Arial" w:hAnsi="Arial" w:cs="Arial"/>
          <w:iCs/>
        </w:rPr>
      </w:pPr>
    </w:p>
    <w:p w14:paraId="40977C7A" w14:textId="77777777" w:rsidR="00077ADB" w:rsidRDefault="00077ADB" w:rsidP="00077ADB">
      <w:pPr>
        <w:spacing w:after="0" w:line="276" w:lineRule="auto"/>
        <w:rPr>
          <w:rFonts w:ascii="Arial" w:hAnsi="Arial" w:cs="Arial"/>
          <w:iCs/>
        </w:rPr>
      </w:pPr>
      <w:r>
        <w:rPr>
          <w:rFonts w:ascii="Arial" w:hAnsi="Arial" w:cs="Arial"/>
          <w:iCs/>
        </w:rPr>
        <w:t xml:space="preserve">There is an inverse relationship between bond rates and bond prices. Imagine two children sitting at opposite ends of a seesaw. Typically, when interest rates go up, bond prices fall, and when interest rates go down, bond prices rise. </w:t>
      </w:r>
    </w:p>
    <w:p w14:paraId="0E8F31AF" w14:textId="77777777" w:rsidR="00077ADB" w:rsidRDefault="00077ADB" w:rsidP="00077ADB">
      <w:pPr>
        <w:spacing w:after="0" w:line="276" w:lineRule="auto"/>
        <w:rPr>
          <w:rFonts w:ascii="Arial" w:hAnsi="Arial" w:cs="Arial"/>
          <w:iCs/>
        </w:rPr>
      </w:pPr>
    </w:p>
    <w:p w14:paraId="2671C67D" w14:textId="77777777" w:rsidR="00077ADB" w:rsidRDefault="00077ADB" w:rsidP="00077ADB">
      <w:pPr>
        <w:spacing w:after="0" w:line="276" w:lineRule="auto"/>
        <w:rPr>
          <w:rFonts w:ascii="Arial" w:hAnsi="Arial" w:cs="Arial"/>
          <w:b/>
          <w:iCs/>
        </w:rPr>
      </w:pPr>
      <w:r>
        <w:rPr>
          <w:rFonts w:ascii="Arial" w:hAnsi="Arial" w:cs="Arial"/>
          <w:b/>
          <w:iCs/>
        </w:rPr>
        <w:t>Challenges and opportunities in a rising rate environment</w:t>
      </w:r>
    </w:p>
    <w:p w14:paraId="2EAA7F32" w14:textId="67D3C3E2" w:rsidR="00077ADB" w:rsidRDefault="00077ADB" w:rsidP="5F7761E3">
      <w:pPr>
        <w:spacing w:after="0" w:line="276" w:lineRule="auto"/>
        <w:rPr>
          <w:rFonts w:ascii="Arial" w:hAnsi="Arial" w:cs="Arial"/>
          <w:vertAlign w:val="superscript"/>
        </w:rPr>
      </w:pPr>
      <w:r w:rsidRPr="5F7761E3">
        <w:rPr>
          <w:rFonts w:ascii="Arial" w:hAnsi="Arial" w:cs="Arial"/>
        </w:rPr>
        <w:t>Currently, we appear to be on the cusp of a period of rising interest rates. The Federal Reserve began encouraging higher rates in December 2015 when it increased the Fed funds rate for the first time in a decade. Since then, the Fed has raised rates six times.</w:t>
      </w:r>
      <w:r w:rsidRPr="5F7761E3">
        <w:rPr>
          <w:rFonts w:ascii="Arial" w:hAnsi="Arial" w:cs="Arial"/>
          <w:vertAlign w:val="superscript"/>
        </w:rPr>
        <w:t>6, 7</w:t>
      </w:r>
      <w:r w:rsidR="0CCE4D6A" w:rsidRPr="5F7761E3">
        <w:rPr>
          <w:rFonts w:ascii="Arial" w:hAnsi="Arial" w:cs="Arial"/>
        </w:rPr>
        <w:t xml:space="preserve"> However, because of Covid-19 the Fed has switched course, continuing to cut rates in 2020. In short, the Fed uses interest rates to help provide liquidity and spending capabilities to influence the overall macroeconomic conditions. </w:t>
      </w:r>
    </w:p>
    <w:p w14:paraId="1176F570" w14:textId="3DBC608E" w:rsidR="00077ADB" w:rsidRDefault="00077ADB" w:rsidP="5F7761E3">
      <w:pPr>
        <w:spacing w:after="0" w:line="276" w:lineRule="auto"/>
        <w:rPr>
          <w:rFonts w:ascii="Arial" w:hAnsi="Arial" w:cs="Arial"/>
        </w:rPr>
      </w:pPr>
    </w:p>
    <w:p w14:paraId="1BB28B67" w14:textId="77777777" w:rsidR="00077ADB" w:rsidRDefault="00077ADB" w:rsidP="00077ADB">
      <w:pPr>
        <w:spacing w:after="0" w:line="276" w:lineRule="auto"/>
        <w:rPr>
          <w:rFonts w:ascii="Arial" w:hAnsi="Arial" w:cs="Arial"/>
        </w:rPr>
      </w:pPr>
      <w:r>
        <w:rPr>
          <w:rFonts w:ascii="Arial" w:hAnsi="Arial" w:cs="Arial"/>
        </w:rPr>
        <w:t>As the interest rate environment changes, talk with your financial advisor about the ways they will approach the challenges and opportunities created. Your advisor may employ strategies such as:</w:t>
      </w:r>
    </w:p>
    <w:p w14:paraId="2B9AAD5C" w14:textId="77777777" w:rsidR="00077ADB" w:rsidRDefault="00077ADB" w:rsidP="00077ADB">
      <w:pPr>
        <w:spacing w:after="0" w:line="276" w:lineRule="auto"/>
        <w:rPr>
          <w:rFonts w:ascii="Arial" w:hAnsi="Arial" w:cs="Arial"/>
          <w:iCs/>
        </w:rPr>
      </w:pPr>
    </w:p>
    <w:p w14:paraId="67F96C13" w14:textId="77777777" w:rsidR="00077ADB" w:rsidRDefault="00077ADB" w:rsidP="00077ADB">
      <w:pPr>
        <w:pStyle w:val="ListParagraph"/>
        <w:numPr>
          <w:ilvl w:val="0"/>
          <w:numId w:val="17"/>
        </w:numPr>
        <w:spacing w:after="0" w:line="276" w:lineRule="auto"/>
        <w:rPr>
          <w:rFonts w:ascii="Arial" w:hAnsi="Arial" w:cs="Arial"/>
          <w:iCs/>
        </w:rPr>
      </w:pPr>
      <w:r>
        <w:rPr>
          <w:rFonts w:ascii="Arial" w:hAnsi="Arial" w:cs="Arial"/>
          <w:b/>
          <w:iCs/>
        </w:rPr>
        <w:t>Rebalancing to maintain a consistent average maturity.</w:t>
      </w:r>
      <w:r>
        <w:rPr>
          <w:rFonts w:ascii="Arial" w:hAnsi="Arial" w:cs="Arial"/>
          <w:iCs/>
        </w:rPr>
        <w:t xml:space="preserve"> One way to address the risk of rising rates is to include bonds with different maturities in your portfolio. The higher rates on new bonds added to the portfolio may help offset any capital losses caused by rising interest rates.</w:t>
      </w:r>
      <w:r>
        <w:rPr>
          <w:rFonts w:ascii="Arial" w:hAnsi="Arial" w:cs="Arial"/>
          <w:iCs/>
          <w:vertAlign w:val="superscript"/>
        </w:rPr>
        <w:t>9</w:t>
      </w:r>
    </w:p>
    <w:p w14:paraId="66B403F2" w14:textId="77777777" w:rsidR="00077ADB" w:rsidRDefault="00077ADB" w:rsidP="00077ADB">
      <w:pPr>
        <w:spacing w:after="0" w:line="276" w:lineRule="auto"/>
        <w:rPr>
          <w:rFonts w:ascii="Arial" w:hAnsi="Arial" w:cs="Arial"/>
          <w:iCs/>
        </w:rPr>
      </w:pPr>
    </w:p>
    <w:p w14:paraId="23083C19" w14:textId="77777777" w:rsidR="00077ADB" w:rsidRDefault="00077ADB" w:rsidP="00077ADB">
      <w:pPr>
        <w:pStyle w:val="ListParagraph"/>
        <w:numPr>
          <w:ilvl w:val="0"/>
          <w:numId w:val="17"/>
        </w:numPr>
        <w:spacing w:after="0" w:line="276" w:lineRule="auto"/>
        <w:rPr>
          <w:rFonts w:ascii="Arial" w:hAnsi="Arial" w:cs="Arial"/>
          <w:iCs/>
        </w:rPr>
      </w:pPr>
      <w:r>
        <w:rPr>
          <w:rFonts w:ascii="Arial" w:hAnsi="Arial" w:cs="Arial"/>
          <w:b/>
          <w:iCs/>
        </w:rPr>
        <w:t>Reducing portfolio duration.</w:t>
      </w:r>
      <w:r>
        <w:rPr>
          <w:rFonts w:ascii="Arial" w:hAnsi="Arial" w:cs="Arial"/>
          <w:iCs/>
        </w:rPr>
        <w:t xml:space="preserve"> Duration is a measure of a portfolio’s sensitivity to changes in interest rates. The longer the duration, the greater the change in price relative to interest rate movement. The shorter the duration, the lesser the change in price relative to interest rate movement. </w:t>
      </w:r>
      <w:r>
        <w:rPr>
          <w:rFonts w:ascii="Arial" w:hAnsi="Arial" w:cs="Arial"/>
          <w:i/>
          <w:iCs/>
        </w:rPr>
        <w:t>Barron’s</w:t>
      </w:r>
      <w:r>
        <w:rPr>
          <w:rFonts w:ascii="Arial" w:hAnsi="Arial" w:cs="Arial"/>
          <w:iCs/>
        </w:rPr>
        <w:t xml:space="preserve"> explained:</w:t>
      </w:r>
      <w:r>
        <w:rPr>
          <w:rFonts w:ascii="Arial" w:hAnsi="Arial" w:cs="Arial"/>
          <w:iCs/>
          <w:vertAlign w:val="superscript"/>
        </w:rPr>
        <w:t>4</w:t>
      </w:r>
    </w:p>
    <w:p w14:paraId="0DF6551D" w14:textId="77777777" w:rsidR="00077ADB" w:rsidRDefault="00077ADB" w:rsidP="00077ADB">
      <w:pPr>
        <w:spacing w:after="0" w:line="276" w:lineRule="auto"/>
        <w:rPr>
          <w:rFonts w:ascii="Arial" w:hAnsi="Arial" w:cs="Arial"/>
          <w:iCs/>
        </w:rPr>
      </w:pPr>
    </w:p>
    <w:p w14:paraId="3E2BFEB2" w14:textId="77777777" w:rsidR="00077ADB" w:rsidRDefault="00077ADB" w:rsidP="00077ADB">
      <w:pPr>
        <w:pStyle w:val="ListParagraph"/>
        <w:spacing w:after="0" w:line="276" w:lineRule="auto"/>
        <w:ind w:left="1440" w:right="720"/>
        <w:rPr>
          <w:rFonts w:ascii="Arial" w:hAnsi="Arial" w:cs="Arial"/>
          <w:iCs/>
        </w:rPr>
      </w:pPr>
      <w:r>
        <w:rPr>
          <w:rFonts w:ascii="Arial" w:hAnsi="Arial" w:cs="Arial"/>
          <w:iCs/>
        </w:rPr>
        <w:lastRenderedPageBreak/>
        <w:t>“A bond with a duration of five years typically will move down in price by about 5 percent for every 100-basis-point increase in interest rates. A bond with a 2-year duration typically will move down by about 2 percent.”</w:t>
      </w:r>
    </w:p>
    <w:p w14:paraId="38D6BF3E" w14:textId="77777777" w:rsidR="00077ADB" w:rsidRDefault="00077ADB" w:rsidP="00077ADB">
      <w:pPr>
        <w:spacing w:after="0" w:line="276" w:lineRule="auto"/>
        <w:rPr>
          <w:rFonts w:ascii="Arial" w:hAnsi="Arial" w:cs="Arial"/>
          <w:iCs/>
        </w:rPr>
      </w:pPr>
    </w:p>
    <w:p w14:paraId="2173796E" w14:textId="77777777" w:rsidR="00077ADB" w:rsidRDefault="00077ADB" w:rsidP="00077ADB">
      <w:pPr>
        <w:spacing w:after="0" w:line="276" w:lineRule="auto"/>
        <w:rPr>
          <w:rFonts w:ascii="Arial" w:hAnsi="Arial" w:cs="Arial"/>
          <w:iCs/>
        </w:rPr>
      </w:pPr>
      <w:r>
        <w:rPr>
          <w:rFonts w:ascii="Arial" w:hAnsi="Arial" w:cs="Arial"/>
          <w:iCs/>
        </w:rPr>
        <w:t>While bond bear markets create challenges, they also create opportunities. For example, investors may have a chance to:</w:t>
      </w:r>
    </w:p>
    <w:p w14:paraId="66062482" w14:textId="77777777" w:rsidR="00077ADB" w:rsidRDefault="00077ADB" w:rsidP="00077ADB">
      <w:pPr>
        <w:spacing w:after="0" w:line="276" w:lineRule="auto"/>
        <w:rPr>
          <w:rFonts w:ascii="Arial" w:hAnsi="Arial" w:cs="Arial"/>
          <w:iCs/>
        </w:rPr>
      </w:pPr>
    </w:p>
    <w:p w14:paraId="14B38E3C" w14:textId="77777777" w:rsidR="00077ADB" w:rsidRDefault="00077ADB" w:rsidP="00077ADB">
      <w:pPr>
        <w:pStyle w:val="ListParagraph"/>
        <w:numPr>
          <w:ilvl w:val="0"/>
          <w:numId w:val="18"/>
        </w:numPr>
        <w:spacing w:after="0" w:line="276" w:lineRule="auto"/>
        <w:rPr>
          <w:rFonts w:ascii="Arial" w:hAnsi="Arial" w:cs="Arial"/>
          <w:iCs/>
        </w:rPr>
      </w:pPr>
      <w:r>
        <w:rPr>
          <w:rFonts w:ascii="Arial" w:hAnsi="Arial" w:cs="Arial"/>
          <w:b/>
          <w:iCs/>
        </w:rPr>
        <w:t>Reduce portfolio risk.</w:t>
      </w:r>
      <w:r>
        <w:rPr>
          <w:rFonts w:ascii="Arial" w:hAnsi="Arial" w:cs="Arial"/>
          <w:iCs/>
        </w:rPr>
        <w:t xml:space="preserve"> During the past decade, investors who sought income shifted assets from historically low-yielding bonds to dividend-paying stocks, lower-rated bonds, and other higher-yielding sectors of the market, according to </w:t>
      </w:r>
      <w:r>
        <w:rPr>
          <w:rFonts w:ascii="Arial" w:hAnsi="Arial" w:cs="Arial"/>
          <w:i/>
          <w:iCs/>
        </w:rPr>
        <w:t>T. Rowe Price.</w:t>
      </w:r>
      <w:r>
        <w:rPr>
          <w:rFonts w:ascii="Arial" w:hAnsi="Arial" w:cs="Arial"/>
          <w:iCs/>
        </w:rPr>
        <w:t xml:space="preserve"> This may have increased the preferred risk level of conservative investors’ portfolios. As bond rates rise, portfolios may be able to meet income objectives by investing in lower-risk bonds.</w:t>
      </w:r>
      <w:r>
        <w:rPr>
          <w:rFonts w:ascii="Arial" w:hAnsi="Arial" w:cs="Arial"/>
          <w:iCs/>
          <w:vertAlign w:val="superscript"/>
        </w:rPr>
        <w:t>10</w:t>
      </w:r>
    </w:p>
    <w:p w14:paraId="476442B4" w14:textId="77777777" w:rsidR="00077ADB" w:rsidRDefault="00077ADB" w:rsidP="00077ADB">
      <w:pPr>
        <w:pStyle w:val="ListParagraph"/>
        <w:spacing w:after="0" w:line="276" w:lineRule="auto"/>
        <w:rPr>
          <w:rFonts w:ascii="Arial" w:hAnsi="Arial" w:cs="Arial"/>
          <w:iCs/>
        </w:rPr>
      </w:pPr>
    </w:p>
    <w:p w14:paraId="6C5FC1FD" w14:textId="77777777" w:rsidR="00077ADB" w:rsidRDefault="00077ADB" w:rsidP="00077ADB">
      <w:pPr>
        <w:pStyle w:val="ListParagraph"/>
        <w:numPr>
          <w:ilvl w:val="0"/>
          <w:numId w:val="18"/>
        </w:numPr>
        <w:spacing w:after="0" w:line="276" w:lineRule="auto"/>
        <w:rPr>
          <w:rFonts w:ascii="Arial" w:hAnsi="Arial" w:cs="Arial"/>
          <w:iCs/>
        </w:rPr>
      </w:pPr>
      <w:r>
        <w:rPr>
          <w:rFonts w:ascii="Arial" w:hAnsi="Arial" w:cs="Arial"/>
          <w:b/>
          <w:iCs/>
        </w:rPr>
        <w:t>Find bargains among dividend stocks.</w:t>
      </w:r>
      <w:r>
        <w:rPr>
          <w:rFonts w:ascii="Arial" w:hAnsi="Arial" w:cs="Arial"/>
          <w:iCs/>
        </w:rPr>
        <w:t xml:space="preserve"> If investors move out of dividend-paying stocks and into bonds, the prices of some companies’ shares may become more attractive, according to </w:t>
      </w:r>
      <w:r>
        <w:rPr>
          <w:rFonts w:ascii="Arial" w:hAnsi="Arial" w:cs="Arial"/>
          <w:i/>
          <w:iCs/>
        </w:rPr>
        <w:t>Barron’s</w:t>
      </w:r>
      <w:r>
        <w:rPr>
          <w:rFonts w:ascii="Arial" w:hAnsi="Arial" w:cs="Arial"/>
          <w:iCs/>
        </w:rPr>
        <w:t>.</w:t>
      </w:r>
      <w:r>
        <w:rPr>
          <w:rFonts w:ascii="Arial" w:hAnsi="Arial" w:cs="Arial"/>
          <w:iCs/>
          <w:vertAlign w:val="superscript"/>
        </w:rPr>
        <w:t>11</w:t>
      </w:r>
    </w:p>
    <w:p w14:paraId="30A1F581" w14:textId="77777777" w:rsidR="00077ADB" w:rsidRDefault="00077ADB" w:rsidP="00077ADB">
      <w:pPr>
        <w:spacing w:after="0" w:line="276" w:lineRule="auto"/>
        <w:rPr>
          <w:rFonts w:ascii="Arial" w:hAnsi="Arial" w:cs="Arial"/>
          <w:iCs/>
        </w:rPr>
      </w:pPr>
    </w:p>
    <w:p w14:paraId="50543399" w14:textId="77777777" w:rsidR="00077ADB" w:rsidRDefault="00077ADB" w:rsidP="00077ADB">
      <w:pPr>
        <w:spacing w:after="0" w:line="276" w:lineRule="auto"/>
        <w:rPr>
          <w:rFonts w:ascii="Arial" w:hAnsi="Arial" w:cs="Arial"/>
          <w:iCs/>
        </w:rPr>
      </w:pPr>
      <w:r>
        <w:rPr>
          <w:rFonts w:ascii="Arial" w:hAnsi="Arial" w:cs="Arial"/>
          <w:iCs/>
        </w:rPr>
        <w:t xml:space="preserve">Bear markets, whether in stocks, bonds, or another type of investment, make many investors uncomfortable. Two ways to weather any type of bear market are to minimize risk through portfolio positioning and capitalize on opportunities created as the market environment changes. </w:t>
      </w:r>
    </w:p>
    <w:p w14:paraId="494C5756" w14:textId="77777777" w:rsidR="00077ADB" w:rsidRDefault="00077ADB" w:rsidP="00077ADB">
      <w:pPr>
        <w:spacing w:after="0" w:line="276" w:lineRule="auto"/>
        <w:rPr>
          <w:rFonts w:ascii="Arial" w:hAnsi="Arial" w:cs="Arial"/>
          <w:iCs/>
        </w:rPr>
      </w:pPr>
    </w:p>
    <w:p w14:paraId="10BF6785" w14:textId="77777777" w:rsidR="00077ADB" w:rsidRDefault="00077ADB" w:rsidP="00077ADB">
      <w:pPr>
        <w:spacing w:after="0" w:line="276" w:lineRule="auto"/>
        <w:rPr>
          <w:rFonts w:ascii="Arial" w:hAnsi="Arial" w:cs="Arial"/>
          <w:iCs/>
        </w:rPr>
      </w:pPr>
      <w:r>
        <w:rPr>
          <w:rFonts w:ascii="Arial" w:hAnsi="Arial" w:cs="Arial"/>
          <w:iCs/>
        </w:rPr>
        <w:t>If you would like to learn more, give us a call.</w:t>
      </w:r>
    </w:p>
    <w:p w14:paraId="19F314AA" w14:textId="77777777" w:rsidR="00077ADB" w:rsidRDefault="00077ADB" w:rsidP="00077ADB">
      <w:pPr>
        <w:spacing w:after="0" w:line="276" w:lineRule="auto"/>
        <w:rPr>
          <w:rFonts w:ascii="Arial" w:hAnsi="Arial" w:cs="Arial"/>
          <w:iCs/>
        </w:rPr>
      </w:pPr>
    </w:p>
    <w:p w14:paraId="1D6C6BD7" w14:textId="77777777" w:rsidR="00077ADB" w:rsidRDefault="00077ADB" w:rsidP="00077ADB">
      <w:pPr>
        <w:spacing w:after="0" w:line="276" w:lineRule="auto"/>
        <w:rPr>
          <w:rFonts w:ascii="Arial" w:hAnsi="Arial" w:cs="Arial"/>
          <w:iCs/>
          <w:sz w:val="20"/>
          <w:szCs w:val="20"/>
        </w:rPr>
      </w:pPr>
      <w:r>
        <w:rPr>
          <w:rFonts w:ascii="Arial" w:hAnsi="Arial" w:cs="Arial"/>
          <w:iCs/>
          <w:sz w:val="20"/>
          <w:szCs w:val="20"/>
        </w:rPr>
        <w:t>Sources:</w:t>
      </w:r>
    </w:p>
    <w:p w14:paraId="6371E5C7" w14:textId="77777777" w:rsidR="00077ADB" w:rsidRDefault="00077ADB" w:rsidP="00077ADB">
      <w:pPr>
        <w:spacing w:after="0" w:line="276" w:lineRule="auto"/>
        <w:rPr>
          <w:rFonts w:ascii="Arial" w:hAnsi="Arial" w:cs="Arial"/>
          <w:iCs/>
          <w:sz w:val="20"/>
          <w:szCs w:val="20"/>
        </w:rPr>
      </w:pPr>
      <w:r>
        <w:rPr>
          <w:rFonts w:ascii="Arial" w:hAnsi="Arial" w:cs="Arial"/>
          <w:iCs/>
          <w:sz w:val="20"/>
          <w:szCs w:val="20"/>
          <w:vertAlign w:val="superscript"/>
        </w:rPr>
        <w:t>1</w:t>
      </w:r>
      <w:r>
        <w:rPr>
          <w:rFonts w:ascii="Arial" w:hAnsi="Arial" w:cs="Arial"/>
          <w:iCs/>
          <w:sz w:val="20"/>
          <w:szCs w:val="20"/>
        </w:rPr>
        <w:t xml:space="preserve"> </w:t>
      </w:r>
      <w:hyperlink r:id="rId8" w:history="1">
        <w:r>
          <w:rPr>
            <w:rStyle w:val="Hyperlink"/>
            <w:rFonts w:ascii="Arial" w:hAnsi="Arial" w:cs="Arial"/>
            <w:iCs/>
            <w:sz w:val="20"/>
            <w:szCs w:val="20"/>
          </w:rPr>
          <w:t>https://www.investopedia.com/exam-guide/cfa-level-1/fixed-income-investments/inflation-risk.asp</w:t>
        </w:r>
      </w:hyperlink>
    </w:p>
    <w:p w14:paraId="2388F8DC" w14:textId="77777777" w:rsidR="00077ADB" w:rsidRDefault="00077ADB" w:rsidP="00077ADB">
      <w:pPr>
        <w:spacing w:after="0" w:line="276" w:lineRule="auto"/>
        <w:rPr>
          <w:rFonts w:ascii="Arial" w:hAnsi="Arial" w:cs="Arial"/>
          <w:iCs/>
          <w:sz w:val="20"/>
          <w:szCs w:val="20"/>
        </w:rPr>
      </w:pPr>
      <w:r>
        <w:rPr>
          <w:rFonts w:ascii="Arial" w:hAnsi="Arial" w:cs="Arial"/>
          <w:iCs/>
          <w:sz w:val="20"/>
          <w:szCs w:val="20"/>
          <w:vertAlign w:val="superscript"/>
        </w:rPr>
        <w:t>2</w:t>
      </w:r>
      <w:r>
        <w:rPr>
          <w:rFonts w:ascii="Arial" w:hAnsi="Arial" w:cs="Arial"/>
          <w:iCs/>
          <w:sz w:val="20"/>
          <w:szCs w:val="20"/>
        </w:rPr>
        <w:t xml:space="preserve"> </w:t>
      </w:r>
      <w:hyperlink r:id="rId9" w:history="1">
        <w:r>
          <w:rPr>
            <w:rStyle w:val="Hyperlink"/>
            <w:rFonts w:ascii="Arial" w:hAnsi="Arial" w:cs="Arial"/>
            <w:iCs/>
            <w:sz w:val="20"/>
            <w:szCs w:val="20"/>
          </w:rPr>
          <w:t>https://www.investopedia.com/terms/c/creditrisk.asp</w:t>
        </w:r>
      </w:hyperlink>
    </w:p>
    <w:p w14:paraId="58BFC32C" w14:textId="77777777" w:rsidR="00077ADB" w:rsidRDefault="00077ADB" w:rsidP="00077ADB">
      <w:pPr>
        <w:spacing w:after="0" w:line="276" w:lineRule="auto"/>
        <w:rPr>
          <w:rFonts w:ascii="Arial" w:eastAsiaTheme="minorEastAsia" w:hAnsi="Arial" w:cs="Arial"/>
          <w:sz w:val="20"/>
          <w:szCs w:val="20"/>
        </w:rPr>
      </w:pPr>
      <w:r>
        <w:rPr>
          <w:rFonts w:ascii="Arial" w:hAnsi="Arial" w:cs="Arial"/>
          <w:iCs/>
          <w:sz w:val="20"/>
          <w:szCs w:val="20"/>
          <w:vertAlign w:val="superscript"/>
        </w:rPr>
        <w:t>3</w:t>
      </w:r>
      <w:r>
        <w:rPr>
          <w:rFonts w:ascii="Arial" w:hAnsi="Arial" w:cs="Arial"/>
          <w:sz w:val="20"/>
          <w:szCs w:val="20"/>
        </w:rPr>
        <w:t xml:space="preserve"> </w:t>
      </w:r>
      <w:hyperlink r:id="rId10" w:history="1">
        <w:r>
          <w:rPr>
            <w:rStyle w:val="Hyperlink"/>
            <w:rFonts w:ascii="Arial" w:eastAsiaTheme="minorEastAsia" w:hAnsi="Arial" w:cs="Arial"/>
            <w:sz w:val="20"/>
            <w:szCs w:val="20"/>
          </w:rPr>
          <w:t>https://www.investopedia.com/terms/i/interestraterisk.asp</w:t>
        </w:r>
      </w:hyperlink>
    </w:p>
    <w:p w14:paraId="4FAF521D" w14:textId="77777777" w:rsidR="00077ADB" w:rsidRDefault="00077ADB" w:rsidP="00077ADB">
      <w:pPr>
        <w:spacing w:after="0" w:line="276" w:lineRule="auto"/>
        <w:rPr>
          <w:rFonts w:ascii="Arial" w:eastAsia="Times New Roman" w:hAnsi="Arial" w:cs="Arial"/>
          <w:sz w:val="20"/>
          <w:szCs w:val="20"/>
        </w:rPr>
      </w:pPr>
      <w:r>
        <w:rPr>
          <w:rFonts w:ascii="Arial" w:hAnsi="Arial" w:cs="Arial"/>
          <w:iCs/>
          <w:sz w:val="20"/>
          <w:szCs w:val="20"/>
          <w:vertAlign w:val="superscript"/>
        </w:rPr>
        <w:t>4</w:t>
      </w:r>
      <w:r>
        <w:rPr>
          <w:rFonts w:ascii="Arial" w:eastAsiaTheme="minorEastAsia" w:hAnsi="Arial" w:cs="Arial"/>
          <w:sz w:val="20"/>
          <w:szCs w:val="20"/>
        </w:rPr>
        <w:t xml:space="preserve"> </w:t>
      </w:r>
      <w:hyperlink r:id="rId11" w:history="1">
        <w:r>
          <w:rPr>
            <w:rStyle w:val="Hyperlink"/>
            <w:rFonts w:ascii="Arial" w:eastAsiaTheme="minorEastAsia" w:hAnsi="Arial" w:cs="Arial"/>
            <w:sz w:val="20"/>
            <w:szCs w:val="20"/>
          </w:rPr>
          <w:t>https://www.barrons.com/articles/whats-a-bond-investor-to-do-in-a-bearish-2017-1485375541</w:t>
        </w:r>
      </w:hyperlink>
      <w:r>
        <w:rPr>
          <w:rStyle w:val="Hyperlink"/>
          <w:rFonts w:ascii="Arial" w:eastAsiaTheme="minorEastAsia" w:hAnsi="Arial" w:cs="Arial"/>
          <w:sz w:val="20"/>
          <w:szCs w:val="20"/>
        </w:rPr>
        <w:t xml:space="preserve"> (</w:t>
      </w:r>
      <w:r>
        <w:rPr>
          <w:rStyle w:val="Hyperlink"/>
          <w:rFonts w:ascii="Arial" w:eastAsiaTheme="minorEastAsia" w:hAnsi="Arial" w:cs="Arial"/>
          <w:i/>
          <w:sz w:val="20"/>
          <w:szCs w:val="20"/>
        </w:rPr>
        <w:t xml:space="preserve">or go to </w:t>
      </w:r>
      <w:hyperlink r:id="rId12" w:history="1">
        <w:r>
          <w:rPr>
            <w:rStyle w:val="Hyperlink"/>
            <w:rFonts w:ascii="Arial" w:hAnsi="Arial" w:cs="Arial"/>
            <w:color w:val="0000FF"/>
            <w:sz w:val="20"/>
            <w:szCs w:val="20"/>
          </w:rPr>
          <w:t>https://s3-us-west-2.amazonaws.com/peakcontent/Peak+Documents/Jun_2018_Barrons-Whats_a_Bond_Investor_to_Do_in_a_Bearish_2017-Footnote_4.pdf</w:t>
        </w:r>
      </w:hyperlink>
      <w:r>
        <w:rPr>
          <w:rFonts w:ascii="Arial" w:hAnsi="Arial" w:cs="Arial"/>
          <w:sz w:val="20"/>
          <w:szCs w:val="20"/>
        </w:rPr>
        <w:t>)</w:t>
      </w:r>
    </w:p>
    <w:p w14:paraId="13EE084A" w14:textId="77777777" w:rsidR="00077ADB" w:rsidRDefault="00077ADB" w:rsidP="00077ADB">
      <w:pPr>
        <w:spacing w:after="0" w:line="276" w:lineRule="auto"/>
        <w:rPr>
          <w:rFonts w:ascii="Arial" w:eastAsiaTheme="minorEastAsia" w:hAnsi="Arial" w:cs="Arial"/>
          <w:sz w:val="20"/>
          <w:szCs w:val="20"/>
        </w:rPr>
      </w:pPr>
      <w:r>
        <w:rPr>
          <w:rFonts w:ascii="Arial" w:hAnsi="Arial" w:cs="Arial"/>
          <w:iCs/>
          <w:sz w:val="20"/>
          <w:szCs w:val="20"/>
          <w:vertAlign w:val="superscript"/>
        </w:rPr>
        <w:t>5</w:t>
      </w:r>
      <w:r>
        <w:rPr>
          <w:rFonts w:ascii="Arial" w:eastAsiaTheme="minorEastAsia" w:hAnsi="Arial" w:cs="Arial"/>
          <w:sz w:val="20"/>
          <w:szCs w:val="20"/>
        </w:rPr>
        <w:t xml:space="preserve"> </w:t>
      </w:r>
      <w:hyperlink r:id="rId13" w:history="1">
        <w:r>
          <w:rPr>
            <w:rStyle w:val="Hyperlink"/>
            <w:rFonts w:ascii="Arial" w:eastAsiaTheme="minorEastAsia" w:hAnsi="Arial" w:cs="Arial"/>
            <w:sz w:val="20"/>
            <w:szCs w:val="20"/>
          </w:rPr>
          <w:t>https://finance.yahoo.com/quote/^TNX/history?period1=347263200&amp;period2=378799200&amp;interval=1d&amp;filter=history&amp;frequency=1d</w:t>
        </w:r>
      </w:hyperlink>
    </w:p>
    <w:p w14:paraId="2DC0CBFC" w14:textId="77777777" w:rsidR="00077ADB" w:rsidRDefault="00077ADB" w:rsidP="00077ADB">
      <w:pPr>
        <w:spacing w:after="0" w:line="276" w:lineRule="auto"/>
        <w:rPr>
          <w:rFonts w:ascii="Arial" w:eastAsiaTheme="minorEastAsia" w:hAnsi="Arial" w:cs="Arial"/>
          <w:sz w:val="20"/>
          <w:szCs w:val="20"/>
        </w:rPr>
      </w:pPr>
      <w:r>
        <w:rPr>
          <w:rFonts w:ascii="Arial" w:hAnsi="Arial" w:cs="Arial"/>
          <w:iCs/>
          <w:sz w:val="20"/>
          <w:szCs w:val="20"/>
          <w:vertAlign w:val="superscript"/>
        </w:rPr>
        <w:t>6</w:t>
      </w:r>
      <w:r>
        <w:rPr>
          <w:rFonts w:ascii="Arial" w:eastAsiaTheme="minorEastAsia" w:hAnsi="Arial" w:cs="Arial"/>
          <w:sz w:val="20"/>
          <w:szCs w:val="20"/>
        </w:rPr>
        <w:t xml:space="preserve"> </w:t>
      </w:r>
      <w:hyperlink r:id="rId14" w:history="1">
        <w:r>
          <w:rPr>
            <w:rStyle w:val="Hyperlink"/>
            <w:rFonts w:ascii="Arial" w:hAnsi="Arial" w:cs="Arial"/>
            <w:sz w:val="20"/>
            <w:szCs w:val="20"/>
          </w:rPr>
          <w:t>http://money.cnn.com/2015/12/16/news/economy/federal-reserve-interest-rate-hike/index.html</w:t>
        </w:r>
      </w:hyperlink>
      <w:r>
        <w:rPr>
          <w:rFonts w:ascii="Arial" w:eastAsiaTheme="minorEastAsia" w:hAnsi="Arial" w:cs="Arial"/>
          <w:sz w:val="20"/>
          <w:szCs w:val="20"/>
        </w:rPr>
        <w:t xml:space="preserve"> </w:t>
      </w:r>
    </w:p>
    <w:p w14:paraId="585E58DD" w14:textId="77777777" w:rsidR="00077ADB" w:rsidRDefault="00077ADB" w:rsidP="00077ADB">
      <w:pPr>
        <w:spacing w:after="0" w:line="276" w:lineRule="auto"/>
        <w:rPr>
          <w:rFonts w:ascii="Arial" w:eastAsiaTheme="minorEastAsia" w:hAnsi="Arial" w:cs="Arial"/>
          <w:sz w:val="20"/>
          <w:szCs w:val="20"/>
        </w:rPr>
      </w:pPr>
      <w:r>
        <w:rPr>
          <w:rFonts w:ascii="Arial" w:hAnsi="Arial" w:cs="Arial"/>
          <w:iCs/>
          <w:sz w:val="20"/>
          <w:szCs w:val="20"/>
          <w:vertAlign w:val="superscript"/>
        </w:rPr>
        <w:t>7</w:t>
      </w:r>
      <w:r>
        <w:rPr>
          <w:rFonts w:ascii="Arial" w:hAnsi="Arial" w:cs="Arial"/>
          <w:sz w:val="20"/>
          <w:szCs w:val="20"/>
        </w:rPr>
        <w:t xml:space="preserve"> </w:t>
      </w:r>
      <w:hyperlink r:id="rId15" w:history="1">
        <w:r>
          <w:rPr>
            <w:rStyle w:val="Hyperlink"/>
            <w:rFonts w:ascii="Arial" w:hAnsi="Arial" w:cs="Arial"/>
            <w:sz w:val="20"/>
            <w:szCs w:val="20"/>
          </w:rPr>
          <w:t>https://www.bloomberg.com/news/articles/2018-04-26/central-banks-take-it-easy-to-give-global-growth-a-second-look</w:t>
        </w:r>
      </w:hyperlink>
      <w:r>
        <w:rPr>
          <w:rFonts w:ascii="Arial" w:eastAsiaTheme="minorEastAsia" w:hAnsi="Arial" w:cs="Arial"/>
          <w:sz w:val="20"/>
          <w:szCs w:val="20"/>
        </w:rPr>
        <w:t xml:space="preserve"> </w:t>
      </w:r>
    </w:p>
    <w:p w14:paraId="3683F9B7" w14:textId="77777777" w:rsidR="00077ADB" w:rsidRDefault="00077ADB" w:rsidP="00077ADB">
      <w:pPr>
        <w:spacing w:after="0" w:line="276" w:lineRule="auto"/>
        <w:rPr>
          <w:rFonts w:ascii="Arial" w:eastAsia="Times New Roman" w:hAnsi="Arial" w:cs="Arial"/>
          <w:sz w:val="20"/>
          <w:szCs w:val="20"/>
        </w:rPr>
      </w:pPr>
      <w:r>
        <w:rPr>
          <w:rFonts w:ascii="Arial" w:hAnsi="Arial" w:cs="Arial"/>
          <w:iCs/>
          <w:sz w:val="20"/>
          <w:szCs w:val="20"/>
          <w:vertAlign w:val="superscript"/>
        </w:rPr>
        <w:t>8</w:t>
      </w:r>
      <w:r>
        <w:rPr>
          <w:rFonts w:ascii="Arial" w:hAnsi="Arial" w:cs="Arial"/>
          <w:sz w:val="20"/>
          <w:szCs w:val="20"/>
        </w:rPr>
        <w:t xml:space="preserve"> </w:t>
      </w:r>
      <w:hyperlink r:id="rId16" w:history="1">
        <w:r>
          <w:rPr>
            <w:rStyle w:val="Hyperlink"/>
            <w:rFonts w:ascii="Arial" w:hAnsi="Arial" w:cs="Arial"/>
            <w:sz w:val="20"/>
            <w:szCs w:val="20"/>
          </w:rPr>
          <w:t>https://finance.yahoo.com/quote/^TNX/history?period1=1448949600&amp;period2=1524891600&amp;interval=1mo&amp;filter=history&amp;frequency=1mo</w:t>
        </w:r>
      </w:hyperlink>
    </w:p>
    <w:p w14:paraId="000FBCBF" w14:textId="77777777" w:rsidR="00077ADB" w:rsidRDefault="00077ADB" w:rsidP="00077ADB">
      <w:pPr>
        <w:spacing w:after="0" w:line="276" w:lineRule="auto"/>
        <w:rPr>
          <w:rFonts w:ascii="Arial" w:hAnsi="Arial" w:cs="Arial"/>
          <w:sz w:val="20"/>
          <w:szCs w:val="20"/>
        </w:rPr>
      </w:pPr>
      <w:r>
        <w:rPr>
          <w:rFonts w:ascii="Arial" w:hAnsi="Arial" w:cs="Arial"/>
          <w:iCs/>
          <w:sz w:val="20"/>
          <w:szCs w:val="20"/>
          <w:vertAlign w:val="superscript"/>
        </w:rPr>
        <w:t>9</w:t>
      </w:r>
      <w:r>
        <w:rPr>
          <w:rFonts w:ascii="Arial" w:eastAsiaTheme="minorEastAsia" w:hAnsi="Arial" w:cs="Arial"/>
          <w:sz w:val="20"/>
          <w:szCs w:val="20"/>
        </w:rPr>
        <w:t xml:space="preserve"> </w:t>
      </w:r>
      <w:hyperlink r:id="rId17" w:history="1">
        <w:r>
          <w:rPr>
            <w:rStyle w:val="Hyperlink"/>
            <w:rFonts w:ascii="Arial" w:eastAsiaTheme="minorEastAsia" w:hAnsi="Arial" w:cs="Arial"/>
            <w:sz w:val="20"/>
            <w:szCs w:val="20"/>
          </w:rPr>
          <w:t>https://www.barrons.com/articles/how-to-protect-your-bond-portfolio-against-rising-rates-1524571200</w:t>
        </w:r>
      </w:hyperlink>
      <w:r>
        <w:rPr>
          <w:rStyle w:val="Hyperlink"/>
          <w:rFonts w:ascii="Arial" w:eastAsiaTheme="minorEastAsia" w:hAnsi="Arial" w:cs="Arial"/>
          <w:sz w:val="20"/>
          <w:szCs w:val="20"/>
        </w:rPr>
        <w:t xml:space="preserve"> (</w:t>
      </w:r>
      <w:r>
        <w:rPr>
          <w:rStyle w:val="Hyperlink"/>
          <w:rFonts w:ascii="Arial" w:eastAsiaTheme="minorEastAsia" w:hAnsi="Arial" w:cs="Arial"/>
          <w:i/>
          <w:sz w:val="20"/>
          <w:szCs w:val="20"/>
        </w:rPr>
        <w:t xml:space="preserve">or go to </w:t>
      </w:r>
      <w:hyperlink r:id="rId18" w:history="1">
        <w:r>
          <w:rPr>
            <w:rStyle w:val="Hyperlink"/>
            <w:rFonts w:ascii="Arial" w:hAnsi="Arial" w:cs="Arial"/>
            <w:color w:val="0000FF"/>
            <w:sz w:val="20"/>
            <w:szCs w:val="20"/>
          </w:rPr>
          <w:t>https://s3-us-west-2.amazonaws.com/peakcontent/Peak+Documents/Jun_2018_Barrons-How_to_Protect_Your_Bond_Portfolio_Against_Rising_Rates-Footnote_9.pdf</w:t>
        </w:r>
      </w:hyperlink>
      <w:r>
        <w:rPr>
          <w:rFonts w:ascii="Arial" w:hAnsi="Arial" w:cs="Arial"/>
          <w:sz w:val="20"/>
          <w:szCs w:val="20"/>
        </w:rPr>
        <w:t>)</w:t>
      </w:r>
    </w:p>
    <w:p w14:paraId="76C8A800" w14:textId="77777777" w:rsidR="00077ADB" w:rsidRDefault="00077ADB" w:rsidP="00077ADB">
      <w:pPr>
        <w:spacing w:after="0" w:line="276" w:lineRule="auto"/>
        <w:rPr>
          <w:rFonts w:ascii="Arial" w:eastAsiaTheme="minorEastAsia" w:hAnsi="Arial" w:cs="Arial"/>
          <w:sz w:val="20"/>
          <w:szCs w:val="20"/>
        </w:rPr>
      </w:pPr>
      <w:r>
        <w:rPr>
          <w:rFonts w:ascii="Arial" w:hAnsi="Arial" w:cs="Arial"/>
          <w:iCs/>
          <w:sz w:val="20"/>
          <w:szCs w:val="20"/>
          <w:vertAlign w:val="superscript"/>
        </w:rPr>
        <w:t>10</w:t>
      </w:r>
      <w:r>
        <w:rPr>
          <w:rFonts w:ascii="Arial" w:eastAsiaTheme="minorEastAsia" w:hAnsi="Arial" w:cs="Arial"/>
          <w:sz w:val="20"/>
          <w:szCs w:val="20"/>
        </w:rPr>
        <w:t xml:space="preserve"> </w:t>
      </w:r>
      <w:hyperlink r:id="rId19" w:history="1">
        <w:r>
          <w:rPr>
            <w:rStyle w:val="Hyperlink"/>
            <w:rFonts w:ascii="Arial" w:eastAsiaTheme="minorEastAsia" w:hAnsi="Arial" w:cs="Arial"/>
            <w:sz w:val="20"/>
            <w:szCs w:val="20"/>
          </w:rPr>
          <w:t>https://www4.troweprice.com/gis/fai/us/en/insights/articles/2017/q4/fixed-income-balancing-act.market-scene.html</w:t>
        </w:r>
      </w:hyperlink>
    </w:p>
    <w:p w14:paraId="39983C18" w14:textId="58342D47" w:rsidR="00DF0603" w:rsidRPr="00DD41BC" w:rsidRDefault="00077ADB" w:rsidP="00077ADB">
      <w:pPr>
        <w:tabs>
          <w:tab w:val="left" w:pos="8550"/>
        </w:tabs>
        <w:spacing w:after="0"/>
        <w:rPr>
          <w:rFonts w:ascii="Calibri" w:hAnsi="Calibri" w:cs="Calibri"/>
          <w:sz w:val="20"/>
          <w:szCs w:val="20"/>
        </w:rPr>
      </w:pPr>
      <w:r w:rsidRPr="5F7761E3">
        <w:rPr>
          <w:rFonts w:ascii="Arial" w:hAnsi="Arial" w:cs="Arial"/>
          <w:sz w:val="20"/>
          <w:szCs w:val="20"/>
          <w:vertAlign w:val="superscript"/>
        </w:rPr>
        <w:t>11</w:t>
      </w:r>
      <w:r w:rsidRPr="5F7761E3">
        <w:rPr>
          <w:rFonts w:ascii="Arial" w:eastAsiaTheme="minorEastAsia" w:hAnsi="Arial" w:cs="Arial"/>
          <w:sz w:val="20"/>
          <w:szCs w:val="20"/>
        </w:rPr>
        <w:t xml:space="preserve"> </w:t>
      </w:r>
      <w:hyperlink r:id="rId20">
        <w:r w:rsidRPr="5F7761E3">
          <w:rPr>
            <w:rStyle w:val="Hyperlink"/>
            <w:rFonts w:ascii="Arial" w:eastAsiaTheme="minorEastAsia" w:hAnsi="Arial" w:cs="Arial"/>
            <w:sz w:val="20"/>
            <w:szCs w:val="20"/>
          </w:rPr>
          <w:t>https://www.barrons.com/articles/investment-income-four-roads-to-solid-yields-1525379918</w:t>
        </w:r>
      </w:hyperlink>
      <w:r w:rsidRPr="5F7761E3">
        <w:rPr>
          <w:rStyle w:val="Hyperlink"/>
          <w:rFonts w:ascii="Arial" w:eastAsiaTheme="minorEastAsia" w:hAnsi="Arial" w:cs="Arial"/>
          <w:sz w:val="20"/>
          <w:szCs w:val="20"/>
        </w:rPr>
        <w:t xml:space="preserve"> (</w:t>
      </w:r>
      <w:r w:rsidRPr="5F7761E3">
        <w:rPr>
          <w:rStyle w:val="Hyperlink"/>
          <w:rFonts w:ascii="Arial" w:eastAsiaTheme="minorEastAsia" w:hAnsi="Arial" w:cs="Arial"/>
          <w:i/>
          <w:iCs/>
          <w:sz w:val="20"/>
          <w:szCs w:val="20"/>
        </w:rPr>
        <w:t xml:space="preserve">or go to </w:t>
      </w:r>
      <w:hyperlink r:id="rId21">
        <w:r w:rsidRPr="5F7761E3">
          <w:rPr>
            <w:rStyle w:val="Hyperlink"/>
            <w:rFonts w:ascii="Arial" w:hAnsi="Arial" w:cs="Arial"/>
            <w:color w:val="0000FF"/>
            <w:sz w:val="20"/>
            <w:szCs w:val="20"/>
          </w:rPr>
          <w:t>https://s3-us-west-2.amazonaws.com/peakcontent/Peak+Documents/Jun_2018_Barrons-Investment_Income-Four_Roads_to_Solid_Yields-Footnote_11.pdf</w:t>
        </w:r>
      </w:hyperlink>
      <w:r w:rsidRPr="5F7761E3">
        <w:rPr>
          <w:rFonts w:ascii="Arial" w:hAnsi="Arial" w:cs="Arial"/>
          <w:sz w:val="20"/>
          <w:szCs w:val="20"/>
        </w:rPr>
        <w:t>)</w:t>
      </w:r>
    </w:p>
    <w:p w14:paraId="49A3FDFC" w14:textId="47638E9E" w:rsidR="4A12EFA3" w:rsidRDefault="4A12EFA3" w:rsidP="5F7761E3">
      <w:pPr>
        <w:spacing w:after="0"/>
        <w:rPr>
          <w:rFonts w:ascii="Arial" w:hAnsi="Arial" w:cs="Arial"/>
          <w:sz w:val="20"/>
          <w:szCs w:val="20"/>
        </w:rPr>
      </w:pPr>
      <w:r w:rsidRPr="5F7761E3">
        <w:rPr>
          <w:rFonts w:ascii="Arial" w:hAnsi="Arial" w:cs="Arial"/>
          <w:sz w:val="20"/>
          <w:szCs w:val="20"/>
        </w:rPr>
        <w:lastRenderedPageBreak/>
        <w:t xml:space="preserve">12 </w:t>
      </w:r>
      <w:hyperlink r:id="rId22" w:anchor=":~:text=Liquidity%20risk%20Liquidity%20refers%20to,in%20the%20bid%2Dask%20spread.&amp;text=High%2Dyield%20bonds%20can%20sometimes,conditions%20at%20any%20given%20time.">
        <w:r w:rsidRPr="5F7761E3">
          <w:rPr>
            <w:rStyle w:val="Hyperlink"/>
            <w:rFonts w:ascii="Arial" w:eastAsia="Arial" w:hAnsi="Arial" w:cs="Arial"/>
            <w:sz w:val="20"/>
            <w:szCs w:val="20"/>
          </w:rPr>
          <w:t>http://www.projectinvested.com/markets-explained/what-are-the-risks/#:~:text=Liquidity%20risk%20Liquidity%20refers%20to,in%20the%20bid%2Dask%20spread.&amp;text=High%2Dyield%20bonds%20can%20sometimes,conditions%20at%20any%20given%20time.</w:t>
        </w:r>
      </w:hyperlink>
    </w:p>
    <w:p w14:paraId="71A231FC" w14:textId="73278BA9" w:rsidR="3513B4EC" w:rsidRDefault="3513B4EC" w:rsidP="5F7761E3">
      <w:pPr>
        <w:spacing w:after="0"/>
        <w:rPr>
          <w:rFonts w:ascii="Arial" w:hAnsi="Arial" w:cs="Arial"/>
        </w:rPr>
      </w:pPr>
      <w:r w:rsidRPr="5F7761E3">
        <w:rPr>
          <w:rFonts w:ascii="Arial" w:hAnsi="Arial" w:cs="Arial"/>
          <w:vertAlign w:val="superscript"/>
        </w:rPr>
        <w:t>13</w:t>
      </w:r>
      <w:hyperlink r:id="rId23">
        <w:r w:rsidRPr="5F7761E3">
          <w:rPr>
            <w:rStyle w:val="Hyperlink"/>
            <w:rFonts w:ascii="Arial" w:eastAsia="Arial" w:hAnsi="Arial" w:cs="Arial"/>
          </w:rPr>
          <w:t>https://www.cnbc.com/2020/03/25/negative-rates-come-to-the-us-1-month-and-3-month-treasury-bill-yields-are-now-negative.html</w:t>
        </w:r>
      </w:hyperlink>
    </w:p>
    <w:p w14:paraId="63FD8694" w14:textId="31B27200" w:rsidR="24122E58" w:rsidRDefault="24122E58" w:rsidP="5F7761E3">
      <w:pPr>
        <w:spacing w:after="0"/>
        <w:rPr>
          <w:rFonts w:ascii="Arial" w:eastAsia="Arial" w:hAnsi="Arial" w:cs="Arial"/>
        </w:rPr>
      </w:pPr>
      <w:r w:rsidRPr="5F7761E3">
        <w:rPr>
          <w:rFonts w:ascii="Arial" w:eastAsia="Arial" w:hAnsi="Arial" w:cs="Arial"/>
        </w:rPr>
        <w:t xml:space="preserve">14 </w:t>
      </w:r>
      <w:hyperlink r:id="rId24">
        <w:r w:rsidRPr="5F7761E3">
          <w:rPr>
            <w:rStyle w:val="Hyperlink"/>
            <w:rFonts w:ascii="Arial" w:eastAsia="Arial" w:hAnsi="Arial" w:cs="Arial"/>
          </w:rPr>
          <w:t>https://www.barrons.com/articles/coronavirus-crash-bond-fund-pricing-problem-51585848504</w:t>
        </w:r>
      </w:hyperlink>
    </w:p>
    <w:p w14:paraId="1FE36CD4" w14:textId="77777777" w:rsidR="00864791" w:rsidRDefault="00864791" w:rsidP="00077ADB">
      <w:pPr>
        <w:spacing w:after="0"/>
        <w:rPr>
          <w:rFonts w:ascii="Calibri" w:hAnsi="Calibri"/>
        </w:rPr>
      </w:pPr>
    </w:p>
    <w:p w14:paraId="72D2C114" w14:textId="77777777" w:rsidR="00864791" w:rsidRDefault="00864791" w:rsidP="00077ADB">
      <w:pPr>
        <w:spacing w:after="0"/>
        <w:rPr>
          <w:rFonts w:ascii="Calibri" w:hAnsi="Calibri"/>
        </w:rPr>
      </w:pPr>
      <w:r>
        <w:rPr>
          <w:rFonts w:ascii="Calibri" w:hAnsi="Calibri"/>
        </w:rPr>
        <w:t xml:space="preserve">Securities offered through </w:t>
      </w:r>
      <w:r>
        <w:rPr>
          <w:rFonts w:ascii="Calibri" w:hAnsi="Calibri"/>
          <w:color w:val="FF0000"/>
        </w:rPr>
        <w:t>“Your B/D Name Here”</w:t>
      </w:r>
      <w:r>
        <w:rPr>
          <w:rFonts w:ascii="Calibri" w:hAnsi="Calibri"/>
        </w:rPr>
        <w:t>, member FINRA/SIPC.</w:t>
      </w:r>
    </w:p>
    <w:p w14:paraId="0FE07EBA" w14:textId="3AF4FCE8" w:rsidR="00E03408" w:rsidRPr="008346D0" w:rsidRDefault="00E03408" w:rsidP="00077ADB">
      <w:pPr>
        <w:widowControl w:val="0"/>
        <w:adjustRightInd w:val="0"/>
        <w:spacing w:after="0"/>
        <w:rPr>
          <w:rFonts w:ascii="Arial" w:hAnsi="Arial" w:cs="Arial"/>
          <w:sz w:val="20"/>
          <w:szCs w:val="20"/>
        </w:rPr>
      </w:pPr>
    </w:p>
    <w:p w14:paraId="1AD03166" w14:textId="1E013929" w:rsidR="009205F3" w:rsidRPr="009205F3" w:rsidRDefault="00AF26E7" w:rsidP="00077ADB">
      <w:pPr>
        <w:pStyle w:val="ListParagraph"/>
        <w:numPr>
          <w:ilvl w:val="0"/>
          <w:numId w:val="1"/>
        </w:numPr>
        <w:spacing w:after="0"/>
        <w:rPr>
          <w:sz w:val="18"/>
          <w:szCs w:val="18"/>
        </w:rPr>
      </w:pPr>
      <w:r w:rsidRPr="00AF26E7">
        <w:rPr>
          <w:rStyle w:val="normaltextrun"/>
          <w:rFonts w:cs="Arial"/>
          <w:color w:val="000000"/>
          <w:sz w:val="18"/>
          <w:szCs w:val="18"/>
          <w:shd w:val="clear" w:color="auto" w:fill="FFFFFF"/>
        </w:rPr>
        <w:t>The above material was prepared by Carson Coaching.</w:t>
      </w:r>
      <w:r w:rsidRPr="00AF26E7">
        <w:rPr>
          <w:rStyle w:val="eop"/>
          <w:rFonts w:cs="Arial"/>
          <w:color w:val="000000"/>
          <w:sz w:val="18"/>
          <w:szCs w:val="18"/>
          <w:shd w:val="clear" w:color="auto" w:fill="FFFFFF"/>
        </w:rPr>
        <w:t> </w:t>
      </w:r>
    </w:p>
    <w:sectPr w:rsidR="009205F3" w:rsidRPr="009205F3" w:rsidSect="005F1A60">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B0F9B" w14:textId="77777777" w:rsidR="000F1F5D" w:rsidRDefault="000F1F5D" w:rsidP="00057E69">
      <w:pPr>
        <w:spacing w:after="0" w:line="240" w:lineRule="auto"/>
      </w:pPr>
      <w:r>
        <w:separator/>
      </w:r>
    </w:p>
  </w:endnote>
  <w:endnote w:type="continuationSeparator" w:id="0">
    <w:p w14:paraId="7A1E7CE3" w14:textId="77777777" w:rsidR="000F1F5D" w:rsidRDefault="000F1F5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5807" w14:textId="77777777" w:rsidR="000F1F5D" w:rsidRDefault="000F1F5D" w:rsidP="00057E69">
      <w:pPr>
        <w:spacing w:after="0" w:line="240" w:lineRule="auto"/>
      </w:pPr>
      <w:r>
        <w:separator/>
      </w:r>
    </w:p>
  </w:footnote>
  <w:footnote w:type="continuationSeparator" w:id="0">
    <w:p w14:paraId="5458E0DD" w14:textId="77777777" w:rsidR="000F1F5D" w:rsidRDefault="000F1F5D"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F45"/>
    <w:multiLevelType w:val="hybridMultilevel"/>
    <w:tmpl w:val="07E080E8"/>
    <w:lvl w:ilvl="0" w:tplc="CB8895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77169"/>
    <w:multiLevelType w:val="hybridMultilevel"/>
    <w:tmpl w:val="57909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91A7A"/>
    <w:multiLevelType w:val="hybridMultilevel"/>
    <w:tmpl w:val="FF94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3A5DE5"/>
    <w:multiLevelType w:val="hybridMultilevel"/>
    <w:tmpl w:val="D3BC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0778F9"/>
    <w:multiLevelType w:val="hybridMultilevel"/>
    <w:tmpl w:val="07E080E8"/>
    <w:lvl w:ilvl="0" w:tplc="CB8895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D4D8C"/>
    <w:multiLevelType w:val="hybridMultilevel"/>
    <w:tmpl w:val="57D4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AE1580"/>
    <w:multiLevelType w:val="hybridMultilevel"/>
    <w:tmpl w:val="268C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D73025"/>
    <w:multiLevelType w:val="hybridMultilevel"/>
    <w:tmpl w:val="65E0C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7A3039D"/>
    <w:multiLevelType w:val="hybridMultilevel"/>
    <w:tmpl w:val="866C7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C161B19"/>
    <w:multiLevelType w:val="hybridMultilevel"/>
    <w:tmpl w:val="9B024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29E2B46"/>
    <w:multiLevelType w:val="hybridMultilevel"/>
    <w:tmpl w:val="99F83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4D50BF"/>
    <w:multiLevelType w:val="hybridMultilevel"/>
    <w:tmpl w:val="E1200B88"/>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Times New Roman" w:hint="default"/>
      </w:rPr>
    </w:lvl>
    <w:lvl w:ilvl="2" w:tplc="04090005">
      <w:start w:val="1"/>
      <w:numFmt w:val="bullet"/>
      <w:lvlText w:val=""/>
      <w:lvlJc w:val="left"/>
      <w:pPr>
        <w:ind w:left="2587" w:hanging="360"/>
      </w:pPr>
      <w:rPr>
        <w:rFonts w:ascii="Wingdings" w:hAnsi="Wingdings" w:hint="default"/>
      </w:rPr>
    </w:lvl>
    <w:lvl w:ilvl="3" w:tplc="04090001">
      <w:start w:val="1"/>
      <w:numFmt w:val="bullet"/>
      <w:lvlText w:val=""/>
      <w:lvlJc w:val="left"/>
      <w:pPr>
        <w:ind w:left="3307" w:hanging="360"/>
      </w:pPr>
      <w:rPr>
        <w:rFonts w:ascii="Symbol" w:hAnsi="Symbol" w:hint="default"/>
      </w:rPr>
    </w:lvl>
    <w:lvl w:ilvl="4" w:tplc="04090003">
      <w:start w:val="1"/>
      <w:numFmt w:val="bullet"/>
      <w:lvlText w:val="o"/>
      <w:lvlJc w:val="left"/>
      <w:pPr>
        <w:ind w:left="4027" w:hanging="360"/>
      </w:pPr>
      <w:rPr>
        <w:rFonts w:ascii="Courier New" w:hAnsi="Courier New" w:cs="Times New Roman" w:hint="default"/>
      </w:rPr>
    </w:lvl>
    <w:lvl w:ilvl="5" w:tplc="04090005">
      <w:start w:val="1"/>
      <w:numFmt w:val="bullet"/>
      <w:lvlText w:val=""/>
      <w:lvlJc w:val="left"/>
      <w:pPr>
        <w:ind w:left="4747" w:hanging="360"/>
      </w:pPr>
      <w:rPr>
        <w:rFonts w:ascii="Wingdings" w:hAnsi="Wingdings" w:hint="default"/>
      </w:rPr>
    </w:lvl>
    <w:lvl w:ilvl="6" w:tplc="04090001">
      <w:start w:val="1"/>
      <w:numFmt w:val="bullet"/>
      <w:lvlText w:val=""/>
      <w:lvlJc w:val="left"/>
      <w:pPr>
        <w:ind w:left="5467" w:hanging="360"/>
      </w:pPr>
      <w:rPr>
        <w:rFonts w:ascii="Symbol" w:hAnsi="Symbol" w:hint="default"/>
      </w:rPr>
    </w:lvl>
    <w:lvl w:ilvl="7" w:tplc="04090003">
      <w:start w:val="1"/>
      <w:numFmt w:val="bullet"/>
      <w:lvlText w:val="o"/>
      <w:lvlJc w:val="left"/>
      <w:pPr>
        <w:ind w:left="6187" w:hanging="360"/>
      </w:pPr>
      <w:rPr>
        <w:rFonts w:ascii="Courier New" w:hAnsi="Courier New" w:cs="Times New Roman" w:hint="default"/>
      </w:rPr>
    </w:lvl>
    <w:lvl w:ilvl="8" w:tplc="04090005">
      <w:start w:val="1"/>
      <w:numFmt w:val="bullet"/>
      <w:lvlText w:val=""/>
      <w:lvlJc w:val="left"/>
      <w:pPr>
        <w:ind w:left="6907" w:hanging="360"/>
      </w:pPr>
      <w:rPr>
        <w:rFonts w:ascii="Wingdings" w:hAnsi="Wingdings" w:hint="default"/>
      </w:rPr>
    </w:lvl>
  </w:abstractNum>
  <w:abstractNum w:abstractNumId="12" w15:restartNumberingAfterBreak="0">
    <w:nsid w:val="55270EAC"/>
    <w:multiLevelType w:val="hybridMultilevel"/>
    <w:tmpl w:val="112E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4EB49C4"/>
    <w:multiLevelType w:val="hybridMultilevel"/>
    <w:tmpl w:val="92D8FE8E"/>
    <w:lvl w:ilvl="0" w:tplc="31060234">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1632A"/>
    <w:multiLevelType w:val="hybridMultilevel"/>
    <w:tmpl w:val="0988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DA7322"/>
    <w:multiLevelType w:val="hybridMultilevel"/>
    <w:tmpl w:val="511AC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F3E43CC"/>
    <w:multiLevelType w:val="hybridMultilevel"/>
    <w:tmpl w:val="7956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6"/>
  </w:num>
  <w:num w:numId="10">
    <w:abstractNumId w:val="12"/>
  </w:num>
  <w:num w:numId="11">
    <w:abstractNumId w:val="8"/>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0676A8"/>
    <w:rsid w:val="00077ADB"/>
    <w:rsid w:val="000F1F5D"/>
    <w:rsid w:val="00164681"/>
    <w:rsid w:val="00173030"/>
    <w:rsid w:val="001C04CA"/>
    <w:rsid w:val="00213E4F"/>
    <w:rsid w:val="00240574"/>
    <w:rsid w:val="002A508A"/>
    <w:rsid w:val="002D1BE6"/>
    <w:rsid w:val="00302ABE"/>
    <w:rsid w:val="00312AAE"/>
    <w:rsid w:val="0037381D"/>
    <w:rsid w:val="003A1586"/>
    <w:rsid w:val="003A31A9"/>
    <w:rsid w:val="004160B8"/>
    <w:rsid w:val="004D3619"/>
    <w:rsid w:val="005F1A60"/>
    <w:rsid w:val="00620BCF"/>
    <w:rsid w:val="006312CF"/>
    <w:rsid w:val="0063718B"/>
    <w:rsid w:val="0066228A"/>
    <w:rsid w:val="00663301"/>
    <w:rsid w:val="00721D9E"/>
    <w:rsid w:val="007827B4"/>
    <w:rsid w:val="0078613C"/>
    <w:rsid w:val="00830B64"/>
    <w:rsid w:val="00864791"/>
    <w:rsid w:val="008C31F8"/>
    <w:rsid w:val="008E1937"/>
    <w:rsid w:val="008F3DC9"/>
    <w:rsid w:val="008F79FC"/>
    <w:rsid w:val="009205F3"/>
    <w:rsid w:val="009A0723"/>
    <w:rsid w:val="009A62B0"/>
    <w:rsid w:val="009A703B"/>
    <w:rsid w:val="00A40043"/>
    <w:rsid w:val="00AE2E4C"/>
    <w:rsid w:val="00AF0281"/>
    <w:rsid w:val="00AF26E7"/>
    <w:rsid w:val="00B418B9"/>
    <w:rsid w:val="00B46186"/>
    <w:rsid w:val="00C30540"/>
    <w:rsid w:val="00C606CD"/>
    <w:rsid w:val="00C801C6"/>
    <w:rsid w:val="00C9218B"/>
    <w:rsid w:val="00CB6ECE"/>
    <w:rsid w:val="00D35070"/>
    <w:rsid w:val="00DD273E"/>
    <w:rsid w:val="00DD41BC"/>
    <w:rsid w:val="00DE2E1A"/>
    <w:rsid w:val="00DE3208"/>
    <w:rsid w:val="00DE354D"/>
    <w:rsid w:val="00DF0603"/>
    <w:rsid w:val="00E03408"/>
    <w:rsid w:val="00E32AB0"/>
    <w:rsid w:val="00E86735"/>
    <w:rsid w:val="00E87A24"/>
    <w:rsid w:val="00EA5B71"/>
    <w:rsid w:val="00ED42F8"/>
    <w:rsid w:val="00F0624C"/>
    <w:rsid w:val="00F753F9"/>
    <w:rsid w:val="00F81BE2"/>
    <w:rsid w:val="00F81CA2"/>
    <w:rsid w:val="03583E01"/>
    <w:rsid w:val="05A440DA"/>
    <w:rsid w:val="0CCE4D6A"/>
    <w:rsid w:val="0DD09302"/>
    <w:rsid w:val="1094D82A"/>
    <w:rsid w:val="117A6D54"/>
    <w:rsid w:val="16AC04DB"/>
    <w:rsid w:val="16D096CA"/>
    <w:rsid w:val="1B05408C"/>
    <w:rsid w:val="1FFBE27E"/>
    <w:rsid w:val="20E9B9B8"/>
    <w:rsid w:val="24122E58"/>
    <w:rsid w:val="2A79B0A5"/>
    <w:rsid w:val="2BEFB221"/>
    <w:rsid w:val="2C5BC722"/>
    <w:rsid w:val="2EC3DBBF"/>
    <w:rsid w:val="3146FF7F"/>
    <w:rsid w:val="3513B4EC"/>
    <w:rsid w:val="3532877C"/>
    <w:rsid w:val="391B088F"/>
    <w:rsid w:val="44630277"/>
    <w:rsid w:val="4571EC4A"/>
    <w:rsid w:val="4A12EFA3"/>
    <w:rsid w:val="56398D66"/>
    <w:rsid w:val="57B7A005"/>
    <w:rsid w:val="593B4B7A"/>
    <w:rsid w:val="5C2A15E4"/>
    <w:rsid w:val="5E74D1AA"/>
    <w:rsid w:val="5F7761E3"/>
    <w:rsid w:val="69E82A33"/>
    <w:rsid w:val="78149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UnresolvedMention">
    <w:name w:val="Unresolved Mention"/>
    <w:basedOn w:val="DefaultParagraphFont"/>
    <w:uiPriority w:val="99"/>
    <w:semiHidden/>
    <w:unhideWhenUsed/>
    <w:rsid w:val="00E32AB0"/>
    <w:rPr>
      <w:color w:val="605E5C"/>
      <w:shd w:val="clear" w:color="auto" w:fill="E1DFDD"/>
    </w:rPr>
  </w:style>
  <w:style w:type="paragraph" w:styleId="FootnoteText">
    <w:name w:val="footnote text"/>
    <w:basedOn w:val="Normal"/>
    <w:link w:val="FootnoteTextChar"/>
    <w:uiPriority w:val="99"/>
    <w:semiHidden/>
    <w:unhideWhenUsed/>
    <w:rsid w:val="00DD41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D41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212">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58634189">
      <w:bodyDiv w:val="1"/>
      <w:marLeft w:val="0"/>
      <w:marRight w:val="0"/>
      <w:marTop w:val="0"/>
      <w:marBottom w:val="0"/>
      <w:divBdr>
        <w:top w:val="none" w:sz="0" w:space="0" w:color="auto"/>
        <w:left w:val="none" w:sz="0" w:space="0" w:color="auto"/>
        <w:bottom w:val="none" w:sz="0" w:space="0" w:color="auto"/>
        <w:right w:val="none" w:sz="0" w:space="0" w:color="auto"/>
      </w:divBdr>
    </w:div>
    <w:div w:id="613286713">
      <w:bodyDiv w:val="1"/>
      <w:marLeft w:val="0"/>
      <w:marRight w:val="0"/>
      <w:marTop w:val="0"/>
      <w:marBottom w:val="0"/>
      <w:divBdr>
        <w:top w:val="none" w:sz="0" w:space="0" w:color="auto"/>
        <w:left w:val="none" w:sz="0" w:space="0" w:color="auto"/>
        <w:bottom w:val="none" w:sz="0" w:space="0" w:color="auto"/>
        <w:right w:val="none" w:sz="0" w:space="0" w:color="auto"/>
      </w:divBdr>
    </w:div>
    <w:div w:id="863789902">
      <w:bodyDiv w:val="1"/>
      <w:marLeft w:val="0"/>
      <w:marRight w:val="0"/>
      <w:marTop w:val="0"/>
      <w:marBottom w:val="0"/>
      <w:divBdr>
        <w:top w:val="none" w:sz="0" w:space="0" w:color="auto"/>
        <w:left w:val="none" w:sz="0" w:space="0" w:color="auto"/>
        <w:bottom w:val="none" w:sz="0" w:space="0" w:color="auto"/>
        <w:right w:val="none" w:sz="0" w:space="0" w:color="auto"/>
      </w:divBdr>
    </w:div>
    <w:div w:id="891236569">
      <w:bodyDiv w:val="1"/>
      <w:marLeft w:val="0"/>
      <w:marRight w:val="0"/>
      <w:marTop w:val="0"/>
      <w:marBottom w:val="0"/>
      <w:divBdr>
        <w:top w:val="none" w:sz="0" w:space="0" w:color="auto"/>
        <w:left w:val="none" w:sz="0" w:space="0" w:color="auto"/>
        <w:bottom w:val="none" w:sz="0" w:space="0" w:color="auto"/>
        <w:right w:val="none" w:sz="0" w:space="0" w:color="auto"/>
      </w:divBdr>
    </w:div>
    <w:div w:id="991328599">
      <w:bodyDiv w:val="1"/>
      <w:marLeft w:val="0"/>
      <w:marRight w:val="0"/>
      <w:marTop w:val="0"/>
      <w:marBottom w:val="0"/>
      <w:divBdr>
        <w:top w:val="none" w:sz="0" w:space="0" w:color="auto"/>
        <w:left w:val="none" w:sz="0" w:space="0" w:color="auto"/>
        <w:bottom w:val="none" w:sz="0" w:space="0" w:color="auto"/>
        <w:right w:val="none" w:sz="0" w:space="0" w:color="auto"/>
      </w:divBdr>
    </w:div>
    <w:div w:id="1097139430">
      <w:bodyDiv w:val="1"/>
      <w:marLeft w:val="0"/>
      <w:marRight w:val="0"/>
      <w:marTop w:val="0"/>
      <w:marBottom w:val="0"/>
      <w:divBdr>
        <w:top w:val="none" w:sz="0" w:space="0" w:color="auto"/>
        <w:left w:val="none" w:sz="0" w:space="0" w:color="auto"/>
        <w:bottom w:val="none" w:sz="0" w:space="0" w:color="auto"/>
        <w:right w:val="none" w:sz="0" w:space="0" w:color="auto"/>
      </w:divBdr>
    </w:div>
    <w:div w:id="1377198066">
      <w:bodyDiv w:val="1"/>
      <w:marLeft w:val="0"/>
      <w:marRight w:val="0"/>
      <w:marTop w:val="0"/>
      <w:marBottom w:val="0"/>
      <w:divBdr>
        <w:top w:val="none" w:sz="0" w:space="0" w:color="auto"/>
        <w:left w:val="none" w:sz="0" w:space="0" w:color="auto"/>
        <w:bottom w:val="none" w:sz="0" w:space="0" w:color="auto"/>
        <w:right w:val="none" w:sz="0" w:space="0" w:color="auto"/>
      </w:divBdr>
    </w:div>
    <w:div w:id="146041211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1784838379">
      <w:bodyDiv w:val="1"/>
      <w:marLeft w:val="0"/>
      <w:marRight w:val="0"/>
      <w:marTop w:val="0"/>
      <w:marBottom w:val="0"/>
      <w:divBdr>
        <w:top w:val="none" w:sz="0" w:space="0" w:color="auto"/>
        <w:left w:val="none" w:sz="0" w:space="0" w:color="auto"/>
        <w:bottom w:val="none" w:sz="0" w:space="0" w:color="auto"/>
        <w:right w:val="none" w:sz="0" w:space="0" w:color="auto"/>
      </w:divBdr>
    </w:div>
    <w:div w:id="1940066264">
      <w:bodyDiv w:val="1"/>
      <w:marLeft w:val="0"/>
      <w:marRight w:val="0"/>
      <w:marTop w:val="0"/>
      <w:marBottom w:val="0"/>
      <w:divBdr>
        <w:top w:val="none" w:sz="0" w:space="0" w:color="auto"/>
        <w:left w:val="none" w:sz="0" w:space="0" w:color="auto"/>
        <w:bottom w:val="none" w:sz="0" w:space="0" w:color="auto"/>
        <w:right w:val="none" w:sz="0" w:space="0" w:color="auto"/>
      </w:divBdr>
    </w:div>
    <w:div w:id="21072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exam-guide/cfa-level-1/fixed-income-investments/inflation-risk.asp" TargetMode="External"/><Relationship Id="rId13" Type="http://schemas.openxmlformats.org/officeDocument/2006/relationships/hyperlink" Target="https://finance.yahoo.com/quote/%5eTNX/history?period1=347263200&amp;period2=378799200&amp;interval=1d&amp;filter=history&amp;frequency=1d" TargetMode="External"/><Relationship Id="rId18" Type="http://schemas.openxmlformats.org/officeDocument/2006/relationships/hyperlink" Target="https://s3-us-west-2.amazonaws.com/peakcontent/Peak+Documents/Jun_2018_Barrons-How_to_Protect_Your_Bond_Portfolio_Against_Rising_Rates-Footnote_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3-us-west-2.amazonaws.com/peakcontent/Peak+Documents/Jun_2018_Barrons-Investment_Income-Four_Roads_to_Solid_Yields-Footnote_11.pdf" TargetMode="External"/><Relationship Id="rId7" Type="http://schemas.openxmlformats.org/officeDocument/2006/relationships/endnotes" Target="endnotes.xml"/><Relationship Id="rId12" Type="http://schemas.openxmlformats.org/officeDocument/2006/relationships/hyperlink" Target="https://s3-us-west-2.amazonaws.com/peakcontent/Peak+Documents/Jun_2018_Barrons-Whats_a_Bond_Investor_to_Do_in_a_Bearish_2017-Footnote_4.pdf" TargetMode="External"/><Relationship Id="rId17" Type="http://schemas.openxmlformats.org/officeDocument/2006/relationships/hyperlink" Target="https://www.barrons.com/articles/how-to-protect-your-bond-portfolio-against-rising-rates-15245712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ance.yahoo.com/quote/%5eTNX/history?period1=1448949600&amp;period2=1524891600&amp;interval=1mo&amp;filter=history&amp;frequency=1mo" TargetMode="External"/><Relationship Id="rId20" Type="http://schemas.openxmlformats.org/officeDocument/2006/relationships/hyperlink" Target="https://www.barrons.com/articles/investment-income-four-roads-to-solid-yields-1525379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whats-a-bond-investor-to-do-in-a-bearish-2017-1485375541" TargetMode="External"/><Relationship Id="rId24" Type="http://schemas.openxmlformats.org/officeDocument/2006/relationships/hyperlink" Target="https://www.barrons.com/articles/coronavirus-crash-bond-fund-pricing-problem-51585848504" TargetMode="External"/><Relationship Id="rId5" Type="http://schemas.openxmlformats.org/officeDocument/2006/relationships/webSettings" Target="webSettings.xml"/><Relationship Id="rId15" Type="http://schemas.openxmlformats.org/officeDocument/2006/relationships/hyperlink" Target="https://www.bloomberg.com/news/articles/2018-04-26/central-banks-take-it-easy-to-give-global-growth-a-second-look" TargetMode="External"/><Relationship Id="rId23" Type="http://schemas.openxmlformats.org/officeDocument/2006/relationships/hyperlink" Target="https://www.cnbc.com/2020/03/25/negative-rates-come-to-the-us-1-month-and-3-month-treasury-bill-yields-are-now-negative.html" TargetMode="External"/><Relationship Id="rId10" Type="http://schemas.openxmlformats.org/officeDocument/2006/relationships/hyperlink" Target="https://www.investopedia.com/terms/i/interestraterisk.asp" TargetMode="External"/><Relationship Id="rId19" Type="http://schemas.openxmlformats.org/officeDocument/2006/relationships/hyperlink" Target="https://www4.troweprice.com/gis/fai/us/en/insights/articles/2017/q4/fixed-income-balancing-act.market-scene.html" TargetMode="External"/><Relationship Id="rId4" Type="http://schemas.openxmlformats.org/officeDocument/2006/relationships/settings" Target="settings.xml"/><Relationship Id="rId9" Type="http://schemas.openxmlformats.org/officeDocument/2006/relationships/hyperlink" Target="https://www.investopedia.com/terms/c/creditrisk.asp" TargetMode="External"/><Relationship Id="rId14" Type="http://schemas.openxmlformats.org/officeDocument/2006/relationships/hyperlink" Target="http://money.cnn.com/2015/12/16/news/economy/federal-reserve-interest-rate-hike/index.html" TargetMode="External"/><Relationship Id="rId22" Type="http://schemas.openxmlformats.org/officeDocument/2006/relationships/hyperlink" Target="http://www.projectinvested.com/markets-explained/what-are-the-risk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D6FD5-9DC6-4FD1-9805-D32BD4EC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4</cp:revision>
  <dcterms:created xsi:type="dcterms:W3CDTF">2020-06-18T14:56:00Z</dcterms:created>
  <dcterms:modified xsi:type="dcterms:W3CDTF">2020-06-30T14:32:00Z</dcterms:modified>
</cp:coreProperties>
</file>